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E3BAF">
      <w:pPr>
        <w:pStyle w:val="9"/>
        <w:overflowPunct w:val="0"/>
        <w:spacing w:after="0" w:line="400" w:lineRule="exact"/>
        <w:ind w:left="0" w:leftChars="0" w:firstLine="0" w:firstLineChars="0"/>
        <w:rPr>
          <w:rFonts w:ascii="Times New Roman" w:hAnsi="Times New Roman" w:eastAsia="黑体"/>
          <w:snapToGrid w:val="0"/>
          <w:color w:val="000000"/>
          <w:kern w:val="0"/>
          <w:sz w:val="30"/>
          <w:szCs w:val="30"/>
        </w:rPr>
      </w:pPr>
      <w:bookmarkStart w:id="3" w:name="_GoBack"/>
      <w:bookmarkEnd w:id="3"/>
      <w:bookmarkStart w:id="0" w:name="FunCunProofread02"/>
      <w:r>
        <w:rPr>
          <w:rFonts w:ascii="Times New Roman" w:hAnsi="Times New Roman" w:eastAsia="黑体"/>
          <w:snapToGrid w:val="0"/>
          <w:color w:val="000000"/>
          <w:kern w:val="0"/>
          <w:sz w:val="30"/>
          <w:szCs w:val="30"/>
          <w:u w:val="none" w:color="FFFFFF"/>
        </w:rPr>
        <w:t>附件</w:t>
      </w:r>
      <w:bookmarkEnd w:id="0"/>
    </w:p>
    <w:p w14:paraId="5E2787DE">
      <w:pPr>
        <w:pStyle w:val="9"/>
        <w:overflowPunct w:val="0"/>
        <w:spacing w:after="0" w:line="400" w:lineRule="exact"/>
        <w:ind w:left="0" w:leftChars="0" w:firstLine="0" w:firstLineChars="0"/>
        <w:rPr>
          <w:rFonts w:ascii="Times New Roman" w:hAnsi="Times New Roman" w:eastAsia="黑体"/>
          <w:snapToGrid w:val="0"/>
          <w:color w:val="000000"/>
          <w:kern w:val="0"/>
          <w:sz w:val="32"/>
          <w:szCs w:val="32"/>
        </w:rPr>
      </w:pPr>
    </w:p>
    <w:p w14:paraId="5FC1EE14">
      <w:pPr>
        <w:overflowPunct w:val="0"/>
        <w:spacing w:after="120" w:afterLines="50" w:line="600" w:lineRule="exact"/>
        <w:jc w:val="center"/>
        <w:rPr>
          <w:rFonts w:hint="eastAsia" w:ascii="方正小标宋_GBK" w:hAnsi="方正小标宋_GBK" w:eastAsia="方正小标宋_GBK" w:cs="方正小标宋_GBK"/>
          <w:snapToGrid w:val="0"/>
          <w:color w:val="000000"/>
          <w:kern w:val="0"/>
          <w:sz w:val="40"/>
          <w:szCs w:val="40"/>
        </w:rPr>
      </w:pPr>
      <w:r>
        <w:rPr>
          <w:rFonts w:hint="eastAsia" w:ascii="方正小标宋_GBK" w:hAnsi="方正小标宋_GBK" w:eastAsia="方正小标宋_GBK" w:cs="方正小标宋_GBK"/>
          <w:bCs/>
          <w:snapToGrid w:val="0"/>
          <w:color w:val="000000"/>
          <w:kern w:val="0"/>
          <w:sz w:val="40"/>
          <w:szCs w:val="40"/>
        </w:rPr>
        <w:t>任务清单</w:t>
      </w:r>
    </w:p>
    <w:tbl>
      <w:tblPr>
        <w:tblStyle w:val="6"/>
        <w:tblW w:w="148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805"/>
        <w:gridCol w:w="9267"/>
        <w:gridCol w:w="4733"/>
      </w:tblGrid>
      <w:tr w14:paraId="075C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6" w:hRule="atLeast"/>
          <w:tblHeader/>
          <w:jc w:val="center"/>
        </w:trPr>
        <w:tc>
          <w:tcPr>
            <w:tcW w:w="805" w:type="dxa"/>
            <w:noWrap w:val="0"/>
            <w:vAlign w:val="center"/>
          </w:tcPr>
          <w:p w14:paraId="35F993FB">
            <w:pPr>
              <w:pStyle w:val="10"/>
              <w:overflowPunct w:val="0"/>
              <w:spacing w:line="360" w:lineRule="exact"/>
              <w:jc w:val="center"/>
              <w:outlineLvl w:val="1"/>
              <w:rPr>
                <w:rFonts w:hint="eastAsia" w:ascii="黑体" w:hAnsi="黑体" w:eastAsia="黑体" w:cs="黑体"/>
                <w:bCs/>
                <w:snapToGrid w:val="0"/>
                <w:color w:val="000000"/>
                <w:kern w:val="0"/>
                <w:sz w:val="28"/>
                <w:szCs w:val="28"/>
              </w:rPr>
            </w:pPr>
            <w:r>
              <w:rPr>
                <w:rFonts w:hint="eastAsia" w:ascii="黑体" w:hAnsi="黑体" w:eastAsia="黑体" w:cs="黑体"/>
                <w:bCs/>
                <w:snapToGrid w:val="0"/>
                <w:color w:val="000000"/>
                <w:kern w:val="0"/>
                <w:sz w:val="28"/>
                <w:szCs w:val="28"/>
              </w:rPr>
              <w:t>序号</w:t>
            </w:r>
          </w:p>
        </w:tc>
        <w:tc>
          <w:tcPr>
            <w:tcW w:w="9267" w:type="dxa"/>
            <w:noWrap w:val="0"/>
            <w:vAlign w:val="center"/>
          </w:tcPr>
          <w:p w14:paraId="69464554">
            <w:pPr>
              <w:pStyle w:val="10"/>
              <w:overflowPunct w:val="0"/>
              <w:spacing w:line="360" w:lineRule="exact"/>
              <w:jc w:val="center"/>
              <w:outlineLvl w:val="1"/>
              <w:rPr>
                <w:rFonts w:hint="eastAsia" w:ascii="黑体" w:hAnsi="黑体" w:eastAsia="黑体" w:cs="黑体"/>
                <w:bCs/>
                <w:snapToGrid w:val="0"/>
                <w:color w:val="000000"/>
                <w:kern w:val="0"/>
                <w:sz w:val="28"/>
                <w:szCs w:val="28"/>
              </w:rPr>
            </w:pPr>
            <w:r>
              <w:rPr>
                <w:rFonts w:hint="eastAsia" w:ascii="黑体" w:hAnsi="黑体" w:eastAsia="黑体" w:cs="黑体"/>
                <w:snapToGrid w:val="0"/>
                <w:color w:val="000000"/>
                <w:kern w:val="0"/>
                <w:sz w:val="28"/>
                <w:szCs w:val="28"/>
                <w:lang w:val="en-US" w:eastAsia="zh-CN" w:bidi="ar-SA"/>
              </w:rPr>
              <w:t>工      作      任      务</w:t>
            </w:r>
          </w:p>
        </w:tc>
        <w:tc>
          <w:tcPr>
            <w:tcW w:w="4733" w:type="dxa"/>
            <w:noWrap w:val="0"/>
            <w:vAlign w:val="center"/>
          </w:tcPr>
          <w:p w14:paraId="63B99D02">
            <w:pPr>
              <w:pStyle w:val="10"/>
              <w:overflowPunct w:val="0"/>
              <w:spacing w:line="360" w:lineRule="exact"/>
              <w:jc w:val="center"/>
              <w:outlineLvl w:val="1"/>
              <w:rPr>
                <w:rFonts w:hint="eastAsia" w:ascii="黑体" w:hAnsi="黑体" w:eastAsia="黑体" w:cs="黑体"/>
                <w:bCs/>
                <w:snapToGrid w:val="0"/>
                <w:color w:val="000000"/>
                <w:kern w:val="0"/>
                <w:sz w:val="28"/>
                <w:szCs w:val="28"/>
              </w:rPr>
            </w:pPr>
            <w:r>
              <w:rPr>
                <w:rFonts w:hint="eastAsia" w:ascii="黑体" w:hAnsi="黑体" w:eastAsia="黑体" w:cs="黑体"/>
                <w:bCs/>
                <w:snapToGrid w:val="0"/>
                <w:color w:val="000000"/>
                <w:kern w:val="0"/>
                <w:sz w:val="28"/>
                <w:szCs w:val="28"/>
              </w:rPr>
              <w:t>责任单位</w:t>
            </w:r>
          </w:p>
        </w:tc>
      </w:tr>
      <w:tr w14:paraId="4CE2B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903" w:hRule="atLeast"/>
          <w:jc w:val="center"/>
        </w:trPr>
        <w:tc>
          <w:tcPr>
            <w:tcW w:w="805" w:type="dxa"/>
            <w:noWrap w:val="0"/>
            <w:vAlign w:val="center"/>
          </w:tcPr>
          <w:p w14:paraId="5AE5E89C">
            <w:pPr>
              <w:pStyle w:val="10"/>
              <w:overflowPunct w:val="0"/>
              <w:spacing w:line="360" w:lineRule="exact"/>
              <w:jc w:val="center"/>
              <w:outlineLvl w:val="1"/>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w:t>
            </w:r>
          </w:p>
        </w:tc>
        <w:tc>
          <w:tcPr>
            <w:tcW w:w="9267" w:type="dxa"/>
            <w:noWrap w:val="0"/>
            <w:vAlign w:val="center"/>
          </w:tcPr>
          <w:p w14:paraId="5492BFA5">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围绕种业基础性前沿性研究</w:t>
            </w:r>
            <w:r>
              <w:rPr>
                <w:rFonts w:hint="eastAsia" w:ascii="仿宋_GB2312" w:hAnsi="仿宋_GB2312" w:eastAsia="仿宋_GB2312" w:cs="仿宋_GB2312"/>
                <w:snapToGrid w:val="0"/>
                <w:color w:val="000000"/>
                <w:kern w:val="0"/>
                <w:sz w:val="28"/>
                <w:szCs w:val="28"/>
                <w:lang w:bidi="ar"/>
              </w:rPr>
              <w:t>主动对接国家战略，</w:t>
            </w:r>
            <w:r>
              <w:rPr>
                <w:rFonts w:hint="eastAsia" w:ascii="仿宋_GB2312" w:hAnsi="仿宋_GB2312" w:eastAsia="仿宋_GB2312" w:cs="仿宋_GB2312"/>
                <w:snapToGrid w:val="0"/>
                <w:color w:val="000000"/>
                <w:kern w:val="0"/>
                <w:sz w:val="28"/>
                <w:szCs w:val="28"/>
              </w:rPr>
              <w:t>打造以生物技术、人工智能和大数据运算为重点的重大科研设施平台，积极引进国家级种业科技创新平台、科研教学机构。深入实施种业振兴行动，加快</w:t>
            </w:r>
            <w:r>
              <w:rPr>
                <w:rFonts w:hint="eastAsia" w:ascii="仿宋_GB2312" w:hAnsi="仿宋_GB2312" w:eastAsia="仿宋_GB2312" w:cs="仿宋_GB2312"/>
                <w:snapToGrid w:val="0"/>
                <w:color w:val="000000"/>
                <w:kern w:val="0"/>
                <w:sz w:val="28"/>
                <w:szCs w:val="28"/>
                <w:lang w:eastAsia="zh-CN"/>
              </w:rPr>
              <w:t>推动</w:t>
            </w:r>
            <w:r>
              <w:rPr>
                <w:rFonts w:hint="eastAsia" w:ascii="仿宋_GB2312" w:hAnsi="仿宋_GB2312" w:eastAsia="仿宋_GB2312" w:cs="仿宋_GB2312"/>
                <w:snapToGrid w:val="0"/>
                <w:color w:val="000000"/>
                <w:kern w:val="0"/>
                <w:sz w:val="28"/>
                <w:szCs w:val="28"/>
              </w:rPr>
              <w:t>攻克一批突破性品种。</w:t>
            </w:r>
            <w:r>
              <w:rPr>
                <w:rFonts w:hint="eastAsia" w:ascii="仿宋_GB2312" w:hAnsi="仿宋_GB2312" w:eastAsia="仿宋_GB2312" w:cs="仿宋_GB2312"/>
                <w:snapToGrid w:val="0"/>
                <w:color w:val="000000"/>
                <w:kern w:val="0"/>
                <w:sz w:val="28"/>
                <w:szCs w:val="28"/>
                <w:lang w:bidi="ar"/>
              </w:rPr>
              <w:t>培育壮大生物育种新业态，打造一批种业优势企业，做强科研服务型南繁种业CRO企业。</w:t>
            </w:r>
          </w:p>
        </w:tc>
        <w:tc>
          <w:tcPr>
            <w:tcW w:w="4733" w:type="dxa"/>
            <w:noWrap w:val="0"/>
            <w:vAlign w:val="center"/>
          </w:tcPr>
          <w:p w14:paraId="38DC2BD2">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省科技厅、省发展改革委、省农业农村厅、三亚市政府、乐东</w:t>
            </w:r>
            <w:r>
              <w:rPr>
                <w:rFonts w:hint="eastAsia" w:ascii="仿宋_GB2312" w:hAnsi="仿宋_GB2312" w:eastAsia="仿宋_GB2312" w:cs="仿宋_GB2312"/>
                <w:snapToGrid w:val="0"/>
                <w:color w:val="000000"/>
                <w:kern w:val="0"/>
                <w:sz w:val="28"/>
                <w:szCs w:val="28"/>
                <w:lang w:eastAsia="zh-CN"/>
              </w:rPr>
              <w:t>黎族自治</w:t>
            </w:r>
            <w:r>
              <w:rPr>
                <w:rFonts w:hint="eastAsia" w:ascii="仿宋_GB2312" w:hAnsi="仿宋_GB2312" w:eastAsia="仿宋_GB2312" w:cs="仿宋_GB2312"/>
                <w:snapToGrid w:val="0"/>
                <w:color w:val="000000"/>
                <w:kern w:val="0"/>
                <w:sz w:val="28"/>
                <w:szCs w:val="28"/>
              </w:rPr>
              <w:t>县政府、陵水</w:t>
            </w:r>
            <w:r>
              <w:rPr>
                <w:rFonts w:hint="eastAsia" w:ascii="仿宋_GB2312" w:hAnsi="仿宋_GB2312" w:eastAsia="仿宋_GB2312" w:cs="仿宋_GB2312"/>
                <w:snapToGrid w:val="0"/>
                <w:color w:val="000000"/>
                <w:kern w:val="0"/>
                <w:sz w:val="28"/>
                <w:szCs w:val="28"/>
                <w:lang w:eastAsia="zh-CN"/>
              </w:rPr>
              <w:t>黎族自治</w:t>
            </w:r>
            <w:r>
              <w:rPr>
                <w:rFonts w:hint="eastAsia" w:ascii="仿宋_GB2312" w:hAnsi="仿宋_GB2312" w:eastAsia="仿宋_GB2312" w:cs="仿宋_GB2312"/>
                <w:snapToGrid w:val="0"/>
                <w:color w:val="000000"/>
                <w:kern w:val="0"/>
                <w:sz w:val="28"/>
                <w:szCs w:val="28"/>
              </w:rPr>
              <w:t>县政府、崖州湾科技城管理局、海南省农垦投资控股集团有限公司等按职责分工。</w:t>
            </w:r>
          </w:p>
        </w:tc>
      </w:tr>
      <w:tr w14:paraId="42F4B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733" w:hRule="atLeast"/>
          <w:jc w:val="center"/>
        </w:trPr>
        <w:tc>
          <w:tcPr>
            <w:tcW w:w="805" w:type="dxa"/>
            <w:noWrap w:val="0"/>
            <w:vAlign w:val="center"/>
          </w:tcPr>
          <w:p w14:paraId="58930FB3">
            <w:pPr>
              <w:pStyle w:val="10"/>
              <w:overflowPunct w:val="0"/>
              <w:spacing w:line="360" w:lineRule="exact"/>
              <w:jc w:val="center"/>
              <w:outlineLvl w:val="1"/>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2</w:t>
            </w:r>
          </w:p>
        </w:tc>
        <w:tc>
          <w:tcPr>
            <w:tcW w:w="9267" w:type="dxa"/>
            <w:noWrap w:val="0"/>
            <w:vAlign w:val="center"/>
          </w:tcPr>
          <w:p w14:paraId="71232A65">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培育壮大海洋新兴产业，加快海洋油气矿产增储上产，开展重点区域“多气合采、多能利用”潜力评价和深海油气田开发关键技术研发，积极推进重点海域天然气水合物生产性试采。做大海洋新能源产业，谋划推进海上风电制氢制醇及加注一体化示范工程。发展特色化海洋工程装备产业，健全深海油气装备测试能力，推动钻井仪、水下采油树与高附加值油服产品本地生产。提升海洋科技创新能力，打造“智慧海洋”深海科技创新策源地、测试中试生产性服务平台。</w:t>
            </w:r>
          </w:p>
        </w:tc>
        <w:tc>
          <w:tcPr>
            <w:tcW w:w="4733" w:type="dxa"/>
            <w:noWrap w:val="0"/>
            <w:vAlign w:val="center"/>
          </w:tcPr>
          <w:p w14:paraId="578DC34C">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省海洋厅、省发展改革委、省工业和信息化厅、省自然资源和规划厅、省科技厅、省地质局、三亚市政府、崖州湾科技城管理局按职责分工。</w:t>
            </w:r>
          </w:p>
        </w:tc>
      </w:tr>
      <w:tr w14:paraId="2BE8F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339" w:hRule="atLeast"/>
          <w:jc w:val="center"/>
        </w:trPr>
        <w:tc>
          <w:tcPr>
            <w:tcW w:w="805" w:type="dxa"/>
            <w:noWrap w:val="0"/>
            <w:vAlign w:val="center"/>
          </w:tcPr>
          <w:p w14:paraId="37CFD444">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3</w:t>
            </w:r>
          </w:p>
        </w:tc>
        <w:tc>
          <w:tcPr>
            <w:tcW w:w="9267" w:type="dxa"/>
            <w:noWrap w:val="0"/>
            <w:vAlign w:val="center"/>
          </w:tcPr>
          <w:p w14:paraId="7D894850">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推动商业航天发射场核心能力提升，加快商业航天发射场二期和配套设施建设。推进卫星超级工厂建设，开工建设卫星部组件制造中心、火箭大部段制造中心等项目，积极引进商业航天企业布局总装总测能力，推动星、箭、场一体化发展。发挥行业龙头带动作用，依托海南卫星数据与应用研究中心、海南省航天技术创新中心等创新载体和平台开展技术攻关、成果转化应用等。</w:t>
            </w:r>
          </w:p>
        </w:tc>
        <w:tc>
          <w:tcPr>
            <w:tcW w:w="4733" w:type="dxa"/>
            <w:noWrap w:val="0"/>
            <w:vAlign w:val="center"/>
          </w:tcPr>
          <w:p w14:paraId="3443EA58">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省发展改革委、省委军民融合办、文昌国际航天城管理局、文昌市政府按职责分工。</w:t>
            </w:r>
          </w:p>
        </w:tc>
      </w:tr>
      <w:tr w14:paraId="18855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353" w:hRule="atLeast"/>
          <w:jc w:val="center"/>
        </w:trPr>
        <w:tc>
          <w:tcPr>
            <w:tcW w:w="805" w:type="dxa"/>
            <w:noWrap w:val="0"/>
            <w:vAlign w:val="center"/>
          </w:tcPr>
          <w:p w14:paraId="38F44A25">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4</w:t>
            </w:r>
          </w:p>
        </w:tc>
        <w:tc>
          <w:tcPr>
            <w:tcW w:w="9267" w:type="dxa"/>
            <w:noWrap w:val="0"/>
            <w:vAlign w:val="center"/>
          </w:tcPr>
          <w:p w14:paraId="1707B7E7">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bidi="ar"/>
              </w:rPr>
              <w:t>做强芒果、凤梨、文昌鸡、东星斑、冬季瓜菜、咖啡、胡椒、橡胶、沉香等特色产业链。培育山兰稻、斑斓、大叶茶等“小而精”特色产业，积极引进、培育、推广“新奇特优”品种。支持渔业园区化、规模化、生态化发展，高标准建设文昌冯家湾等现代渔业产业园。</w:t>
            </w:r>
            <w:r>
              <w:rPr>
                <w:rFonts w:hint="eastAsia" w:ascii="仿宋_GB2312" w:hAnsi="仿宋_GB2312" w:eastAsia="仿宋_GB2312" w:cs="仿宋_GB2312"/>
                <w:snapToGrid w:val="0"/>
                <w:color w:val="000000"/>
                <w:kern w:val="0"/>
                <w:sz w:val="28"/>
                <w:szCs w:val="28"/>
                <w:lang w:eastAsia="zh-CN"/>
              </w:rPr>
              <w:t>推动</w:t>
            </w:r>
            <w:r>
              <w:rPr>
                <w:rFonts w:hint="eastAsia" w:ascii="仿宋_GB2312" w:hAnsi="仿宋_GB2312" w:eastAsia="仿宋_GB2312" w:cs="仿宋_GB2312"/>
                <w:snapToGrid w:val="0"/>
                <w:color w:val="000000"/>
                <w:kern w:val="0"/>
                <w:sz w:val="28"/>
                <w:szCs w:val="28"/>
              </w:rPr>
              <w:t>果蔬清洗分拣、预冷保鲜、烘干储藏、产品包装融合发展，强化粮油、肉类、坚果等行业加工增值政策应用。依托“海南鲜品”平台培育海南农产品品牌。</w:t>
            </w:r>
          </w:p>
        </w:tc>
        <w:tc>
          <w:tcPr>
            <w:tcW w:w="4733" w:type="dxa"/>
            <w:noWrap w:val="0"/>
            <w:vAlign w:val="center"/>
          </w:tcPr>
          <w:p w14:paraId="2072453E">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省农业农村厅、省工业和信息化厅、省发展改革委、省科技厅、省林业局、各市县政府</w:t>
            </w:r>
            <w:bookmarkStart w:id="1" w:name="FunCunProofread9652"/>
            <w:r>
              <w:rPr>
                <w:rFonts w:hint="eastAsia" w:ascii="仿宋_GB2312" w:hAnsi="仿宋_GB2312" w:eastAsia="仿宋_GB2312" w:cs="仿宋_GB2312"/>
                <w:snapToGrid w:val="0"/>
                <w:color w:val="000000"/>
                <w:kern w:val="0"/>
                <w:sz w:val="28"/>
                <w:szCs w:val="28"/>
                <w:lang w:eastAsia="zh-CN"/>
              </w:rPr>
              <w:t>、</w:t>
            </w:r>
            <w:bookmarkEnd w:id="1"/>
            <w:r>
              <w:rPr>
                <w:rFonts w:hint="eastAsia" w:ascii="仿宋_GB2312" w:hAnsi="仿宋_GB2312" w:eastAsia="仿宋_GB2312" w:cs="仿宋_GB2312"/>
                <w:snapToGrid w:val="0"/>
                <w:color w:val="000000"/>
                <w:kern w:val="0"/>
                <w:sz w:val="28"/>
                <w:szCs w:val="28"/>
              </w:rPr>
              <w:t>海南省农垦投资控股集团有限公司按职责分工。</w:t>
            </w:r>
          </w:p>
        </w:tc>
      </w:tr>
      <w:tr w14:paraId="7481E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433" w:hRule="atLeast"/>
          <w:jc w:val="center"/>
        </w:trPr>
        <w:tc>
          <w:tcPr>
            <w:tcW w:w="805" w:type="dxa"/>
            <w:noWrap w:val="0"/>
            <w:vAlign w:val="center"/>
          </w:tcPr>
          <w:p w14:paraId="4C4B68B1">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5</w:t>
            </w:r>
          </w:p>
        </w:tc>
        <w:tc>
          <w:tcPr>
            <w:tcW w:w="9267" w:type="dxa"/>
            <w:noWrap w:val="0"/>
            <w:vAlign w:val="center"/>
          </w:tcPr>
          <w:p w14:paraId="5520D69A">
            <w:pPr>
              <w:overflowPunct w:val="0"/>
              <w:spacing w:line="360" w:lineRule="exact"/>
              <w:rPr>
                <w:rFonts w:hint="eastAsia" w:ascii="仿宋_GB2312" w:hAnsi="仿宋_GB2312" w:eastAsia="仿宋_GB2312" w:cs="仿宋_GB2312"/>
                <w:snapToGrid w:val="0"/>
                <w:color w:val="000000"/>
                <w:kern w:val="0"/>
                <w:sz w:val="28"/>
                <w:szCs w:val="28"/>
                <w:lang w:bidi="ar"/>
              </w:rPr>
            </w:pPr>
            <w:r>
              <w:rPr>
                <w:rFonts w:hint="eastAsia" w:ascii="仿宋_GB2312" w:hAnsi="仿宋_GB2312" w:eastAsia="仿宋_GB2312" w:cs="仿宋_GB2312"/>
                <w:snapToGrid w:val="0"/>
                <w:color w:val="000000"/>
                <w:kern w:val="0"/>
                <w:sz w:val="28"/>
                <w:szCs w:val="28"/>
              </w:rPr>
              <w:t>深化“X+旅游”融合发展，做优航天旅游、高端康养旅游、热带雨林旅游</w:t>
            </w:r>
            <w:r>
              <w:rPr>
                <w:rFonts w:hint="eastAsia" w:ascii="仿宋_GB2312" w:hAnsi="仿宋_GB2312" w:eastAsia="仿宋_GB2312" w:cs="仿宋_GB2312"/>
                <w:snapToGrid w:val="0"/>
                <w:color w:val="000000"/>
                <w:kern w:val="0"/>
                <w:sz w:val="28"/>
                <w:szCs w:val="28"/>
                <w:lang w:eastAsia="zh-CN"/>
              </w:rPr>
              <w:t>、黎苗文化旅游</w:t>
            </w:r>
            <w:r>
              <w:rPr>
                <w:rFonts w:hint="eastAsia" w:ascii="仿宋_GB2312" w:hAnsi="仿宋_GB2312" w:eastAsia="仿宋_GB2312" w:cs="仿宋_GB2312"/>
                <w:snapToGrid w:val="0"/>
                <w:color w:val="000000"/>
                <w:kern w:val="0"/>
                <w:sz w:val="28"/>
                <w:szCs w:val="28"/>
              </w:rPr>
              <w:t>，大力发展演艺旅游、体育旅游、银发旅游等新型消费业态。</w:t>
            </w:r>
            <w:r>
              <w:rPr>
                <w:rFonts w:hint="eastAsia" w:ascii="仿宋_GB2312" w:hAnsi="仿宋_GB2312" w:eastAsia="仿宋_GB2312" w:cs="仿宋_GB2312"/>
                <w:snapToGrid w:val="0"/>
                <w:color w:val="000000"/>
                <w:kern w:val="0"/>
                <w:sz w:val="28"/>
                <w:szCs w:val="28"/>
                <w:lang w:eastAsia="zh-CN"/>
              </w:rPr>
              <w:t>谋划</w:t>
            </w:r>
            <w:r>
              <w:rPr>
                <w:rFonts w:hint="eastAsia" w:ascii="仿宋_GB2312" w:hAnsi="仿宋_GB2312" w:eastAsia="仿宋_GB2312" w:cs="仿宋_GB2312"/>
                <w:snapToGrid w:val="0"/>
                <w:color w:val="000000"/>
                <w:kern w:val="0"/>
                <w:sz w:val="28"/>
                <w:szCs w:val="28"/>
              </w:rPr>
              <w:t>高品质旅游项目，主动对接</w:t>
            </w:r>
            <w:r>
              <w:rPr>
                <w:rFonts w:hint="eastAsia" w:ascii="仿宋_GB2312" w:hAnsi="仿宋_GB2312" w:eastAsia="仿宋_GB2312" w:cs="仿宋_GB2312"/>
                <w:snapToGrid w:val="0"/>
                <w:color w:val="000000"/>
                <w:kern w:val="0"/>
                <w:sz w:val="28"/>
                <w:szCs w:val="28"/>
                <w:lang w:eastAsia="zh-CN"/>
              </w:rPr>
              <w:t>知名</w:t>
            </w:r>
            <w:r>
              <w:rPr>
                <w:rFonts w:hint="eastAsia" w:ascii="仿宋_GB2312" w:hAnsi="仿宋_GB2312" w:eastAsia="仿宋_GB2312" w:cs="仿宋_GB2312"/>
                <w:snapToGrid w:val="0"/>
                <w:color w:val="000000"/>
                <w:kern w:val="0"/>
                <w:sz w:val="28"/>
                <w:szCs w:val="28"/>
              </w:rPr>
              <w:t>国际文旅IP</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rPr>
              <w:t>形成“大项目带动大消费”集聚效应，打造国际旅游消费中心核心载体。深化环岛旅游公路、环热带雨林国家公园旅游公路产品体系</w:t>
            </w:r>
            <w:r>
              <w:rPr>
                <w:rFonts w:hint="eastAsia" w:ascii="仿宋_GB2312" w:hAnsi="仿宋_GB2312" w:eastAsia="仿宋_GB2312" w:cs="仿宋_GB2312"/>
                <w:snapToGrid w:val="0"/>
                <w:color w:val="000000"/>
                <w:kern w:val="0"/>
                <w:sz w:val="28"/>
                <w:szCs w:val="28"/>
                <w:lang w:eastAsia="zh-CN"/>
              </w:rPr>
              <w:t>建设</w:t>
            </w:r>
            <w:r>
              <w:rPr>
                <w:rFonts w:hint="eastAsia" w:ascii="仿宋_GB2312" w:hAnsi="仿宋_GB2312" w:eastAsia="仿宋_GB2312" w:cs="仿宋_GB2312"/>
                <w:snapToGrid w:val="0"/>
                <w:color w:val="000000"/>
                <w:kern w:val="0"/>
                <w:sz w:val="28"/>
                <w:szCs w:val="28"/>
              </w:rPr>
              <w:t>。积极培育热带滨海世界级旅游度假区，全力打造高水平旅游核心吸引物。支持</w:t>
            </w:r>
            <w:r>
              <w:rPr>
                <w:rFonts w:hint="eastAsia" w:ascii="仿宋_GB2312" w:hAnsi="仿宋_GB2312" w:eastAsia="仿宋_GB2312" w:cs="仿宋_GB2312"/>
                <w:snapToGrid w:val="0"/>
                <w:color w:val="000000"/>
                <w:kern w:val="0"/>
                <w:sz w:val="28"/>
                <w:szCs w:val="28"/>
                <w:lang w:eastAsia="zh-CN"/>
              </w:rPr>
              <w:t>三亚、</w:t>
            </w:r>
            <w:r>
              <w:rPr>
                <w:rFonts w:hint="eastAsia" w:ascii="仿宋_GB2312" w:hAnsi="仿宋_GB2312" w:eastAsia="仿宋_GB2312" w:cs="仿宋_GB2312"/>
                <w:snapToGrid w:val="0"/>
                <w:color w:val="000000"/>
                <w:kern w:val="0"/>
                <w:sz w:val="28"/>
                <w:szCs w:val="28"/>
              </w:rPr>
              <w:t>陵水打造</w:t>
            </w:r>
            <w:r>
              <w:rPr>
                <w:rFonts w:hint="eastAsia" w:ascii="仿宋_GB2312" w:hAnsi="仿宋_GB2312" w:eastAsia="仿宋_GB2312" w:cs="仿宋_GB2312"/>
                <w:snapToGrid w:val="0"/>
                <w:color w:val="000000"/>
                <w:kern w:val="0"/>
                <w:sz w:val="28"/>
                <w:szCs w:val="28"/>
                <w:lang w:eastAsia="zh-CN"/>
              </w:rPr>
              <w:t>影视</w:t>
            </w:r>
            <w:r>
              <w:rPr>
                <w:rFonts w:hint="eastAsia" w:ascii="仿宋_GB2312" w:hAnsi="仿宋_GB2312" w:eastAsia="仿宋_GB2312" w:cs="仿宋_GB2312"/>
                <w:snapToGrid w:val="0"/>
                <w:color w:val="000000"/>
                <w:kern w:val="0"/>
                <w:sz w:val="28"/>
                <w:szCs w:val="28"/>
              </w:rPr>
              <w:t>短剧全产业链。</w:t>
            </w:r>
          </w:p>
        </w:tc>
        <w:tc>
          <w:tcPr>
            <w:tcW w:w="4733" w:type="dxa"/>
            <w:noWrap w:val="0"/>
            <w:vAlign w:val="center"/>
          </w:tcPr>
          <w:p w14:paraId="083EB6FE">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省旅游和文化广电体育厅、省发展改革委、省海洋厅、省交通运输厅、省卫生健康委、省商务厅、省农业农村厅、省教育厅、省委军民融合办、省林业厅、各市县政府、文昌国际航天城管理局按职责分工。</w:t>
            </w:r>
          </w:p>
        </w:tc>
      </w:tr>
      <w:tr w14:paraId="22E95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995" w:hRule="atLeast"/>
          <w:jc w:val="center"/>
        </w:trPr>
        <w:tc>
          <w:tcPr>
            <w:tcW w:w="805" w:type="dxa"/>
            <w:noWrap w:val="0"/>
            <w:vAlign w:val="center"/>
          </w:tcPr>
          <w:p w14:paraId="1B48D542">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6</w:t>
            </w:r>
          </w:p>
        </w:tc>
        <w:tc>
          <w:tcPr>
            <w:tcW w:w="9267" w:type="dxa"/>
            <w:noWrap w:val="0"/>
            <w:vAlign w:val="center"/>
          </w:tcPr>
          <w:p w14:paraId="507D733F">
            <w:pPr>
              <w:overflowPunct w:val="0"/>
              <w:spacing w:line="360" w:lineRule="exact"/>
              <w:rPr>
                <w:rFonts w:hint="eastAsia" w:ascii="仿宋_GB2312" w:hAnsi="仿宋_GB2312" w:eastAsia="仿宋_GB2312" w:cs="仿宋_GB2312"/>
                <w:snapToGrid w:val="0"/>
                <w:color w:val="000000"/>
                <w:kern w:val="0"/>
                <w:sz w:val="28"/>
                <w:szCs w:val="28"/>
                <w:lang w:bidi="ar"/>
              </w:rPr>
            </w:pPr>
            <w:r>
              <w:rPr>
                <w:rFonts w:hint="eastAsia" w:ascii="仿宋_GB2312" w:hAnsi="仿宋_GB2312" w:eastAsia="仿宋_GB2312" w:cs="仿宋_GB2312"/>
                <w:snapToGrid w:val="0"/>
                <w:color w:val="000000"/>
                <w:kern w:val="0"/>
                <w:sz w:val="28"/>
                <w:szCs w:val="28"/>
                <w:lang w:bidi="ar"/>
              </w:rPr>
              <w:t>推动洋浦港成为我国面向RCEP国家及链接西部陆海新通道内外贸网络的重要节点。加快琼州海峡通航能力扩能升级，升级琼州海峡老旧船舶。加快洋浦“临港产业集群+临港物流园”协同发展，支持洋浦开展大宗商品“国际集采+加工增值+国内配送”业务。研究推进八所港开通对越滚装航线，加快八所港高排港区建设。</w:t>
            </w:r>
          </w:p>
        </w:tc>
        <w:tc>
          <w:tcPr>
            <w:tcW w:w="4733" w:type="dxa"/>
            <w:noWrap w:val="0"/>
            <w:vAlign w:val="center"/>
          </w:tcPr>
          <w:p w14:paraId="6A874D16">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省交通运输厅、省发展改革委、海南港航控股有限公司、海口市政府、儋州市政府、东方市政府按职责分工。</w:t>
            </w:r>
          </w:p>
        </w:tc>
      </w:tr>
      <w:tr w14:paraId="7F2E8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652" w:hRule="atLeast"/>
          <w:jc w:val="center"/>
        </w:trPr>
        <w:tc>
          <w:tcPr>
            <w:tcW w:w="805" w:type="dxa"/>
            <w:noWrap w:val="0"/>
            <w:vAlign w:val="center"/>
          </w:tcPr>
          <w:p w14:paraId="6AEAA346">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7</w:t>
            </w:r>
          </w:p>
        </w:tc>
        <w:tc>
          <w:tcPr>
            <w:tcW w:w="9267" w:type="dxa"/>
            <w:noWrap w:val="0"/>
            <w:vAlign w:val="center"/>
          </w:tcPr>
          <w:p w14:paraId="63AD3922">
            <w:pPr>
              <w:overflowPunct w:val="0"/>
              <w:spacing w:line="360" w:lineRule="exact"/>
              <w:rPr>
                <w:rFonts w:hint="eastAsia" w:ascii="仿宋_GB2312" w:hAnsi="仿宋_GB2312" w:eastAsia="仿宋_GB2312" w:cs="仿宋_GB2312"/>
                <w:snapToGrid w:val="0"/>
                <w:color w:val="000000"/>
                <w:kern w:val="0"/>
                <w:sz w:val="28"/>
                <w:szCs w:val="28"/>
                <w:lang w:bidi="ar"/>
              </w:rPr>
            </w:pPr>
            <w:r>
              <w:rPr>
                <w:rFonts w:hint="eastAsia" w:ascii="仿宋_GB2312" w:hAnsi="仿宋_GB2312" w:eastAsia="仿宋_GB2312" w:cs="仿宋_GB2312"/>
                <w:snapToGrid w:val="0"/>
                <w:color w:val="000000"/>
                <w:kern w:val="0"/>
                <w:sz w:val="28"/>
                <w:szCs w:val="28"/>
              </w:rPr>
              <w:t>推动EF账户试点扩容，提升海南自贸港资金跨境流动便利水平。积极争取落地跨境资管政策试点，支持跨境资金集中运营中心集聚发展，加快海南自贸港跨境资金监测平台（二期）建设。精准释放飞机船舶租赁SPV实质性运营认定政策红利，吸引金融租赁、融资租赁公司来琼展业。</w:t>
            </w:r>
          </w:p>
        </w:tc>
        <w:tc>
          <w:tcPr>
            <w:tcW w:w="4733" w:type="dxa"/>
            <w:noWrap w:val="0"/>
            <w:vAlign w:val="center"/>
          </w:tcPr>
          <w:p w14:paraId="70979F03">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省委金融办、人民银行海南省分行、海南金融监管局、海南证监局按职责分工。</w:t>
            </w:r>
          </w:p>
        </w:tc>
      </w:tr>
      <w:tr w14:paraId="75CBE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162" w:hRule="atLeast"/>
          <w:jc w:val="center"/>
        </w:trPr>
        <w:tc>
          <w:tcPr>
            <w:tcW w:w="805" w:type="dxa"/>
            <w:noWrap w:val="0"/>
            <w:vAlign w:val="center"/>
          </w:tcPr>
          <w:p w14:paraId="02B49BE3">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8</w:t>
            </w:r>
          </w:p>
        </w:tc>
        <w:tc>
          <w:tcPr>
            <w:tcW w:w="9267" w:type="dxa"/>
            <w:noWrap w:val="0"/>
            <w:vAlign w:val="center"/>
          </w:tcPr>
          <w:p w14:paraId="08B812E1">
            <w:pPr>
              <w:overflowPunct w:val="0"/>
              <w:spacing w:line="360" w:lineRule="exact"/>
              <w:rPr>
                <w:rFonts w:hint="eastAsia" w:ascii="仿宋_GB2312" w:hAnsi="仿宋_GB2312" w:eastAsia="仿宋_GB2312" w:cs="仿宋_GB2312"/>
                <w:snapToGrid w:val="0"/>
                <w:color w:val="000000"/>
                <w:kern w:val="0"/>
                <w:sz w:val="28"/>
                <w:szCs w:val="28"/>
                <w:lang w:bidi="ar"/>
              </w:rPr>
            </w:pPr>
            <w:r>
              <w:rPr>
                <w:rFonts w:hint="eastAsia" w:ascii="仿宋_GB2312" w:hAnsi="仿宋_GB2312" w:eastAsia="仿宋_GB2312" w:cs="仿宋_GB2312"/>
                <w:snapToGrid w:val="0"/>
                <w:color w:val="000000"/>
                <w:kern w:val="0"/>
                <w:sz w:val="28"/>
                <w:szCs w:val="28"/>
              </w:rPr>
              <w:t>推动优化离岛免税政策，</w:t>
            </w:r>
            <w:r>
              <w:rPr>
                <w:rFonts w:hint="eastAsia" w:ascii="仿宋_GB2312" w:hAnsi="仿宋_GB2312" w:eastAsia="仿宋_GB2312" w:cs="仿宋_GB2312"/>
                <w:snapToGrid w:val="0"/>
                <w:color w:val="000000"/>
                <w:kern w:val="0"/>
                <w:sz w:val="28"/>
                <w:szCs w:val="28"/>
                <w:lang w:eastAsia="zh-CN"/>
              </w:rPr>
              <w:t>拓</w:t>
            </w:r>
            <w:r>
              <w:rPr>
                <w:rFonts w:hint="eastAsia" w:ascii="仿宋_GB2312" w:hAnsi="仿宋_GB2312" w:eastAsia="仿宋_GB2312" w:cs="仿宋_GB2312"/>
                <w:snapToGrid w:val="0"/>
                <w:color w:val="000000"/>
                <w:kern w:val="0"/>
                <w:sz w:val="28"/>
                <w:szCs w:val="28"/>
              </w:rPr>
              <w:t>宽“即购即提”商品清单目录。擦亮“留学海南”品牌，持续招引境外优质教育资源，打造“1+3+N”学科专业核心竞争力。加快推进境外医疗消费回流</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rPr>
              <w:t>持续推</w:t>
            </w:r>
            <w:r>
              <w:rPr>
                <w:rFonts w:hint="eastAsia" w:ascii="仿宋_GB2312" w:hAnsi="仿宋_GB2312" w:eastAsia="仿宋_GB2312" w:cs="仿宋_GB2312"/>
                <w:snapToGrid w:val="0"/>
                <w:color w:val="000000"/>
                <w:kern w:val="0"/>
                <w:sz w:val="28"/>
                <w:szCs w:val="28"/>
                <w:lang w:eastAsia="zh-CN"/>
              </w:rPr>
              <w:t>动</w:t>
            </w:r>
            <w:r>
              <w:rPr>
                <w:rFonts w:hint="eastAsia" w:ascii="仿宋_GB2312" w:hAnsi="仿宋_GB2312" w:eastAsia="仿宋_GB2312" w:cs="仿宋_GB2312"/>
                <w:snapToGrid w:val="0"/>
                <w:color w:val="000000"/>
                <w:kern w:val="0"/>
                <w:sz w:val="28"/>
                <w:szCs w:val="28"/>
              </w:rPr>
              <w:t>临床真实世界数据应用试点工作走深走实。</w:t>
            </w:r>
          </w:p>
        </w:tc>
        <w:tc>
          <w:tcPr>
            <w:tcW w:w="4733" w:type="dxa"/>
            <w:noWrap w:val="0"/>
            <w:vAlign w:val="center"/>
          </w:tcPr>
          <w:p w14:paraId="0E494A3D">
            <w:pPr>
              <w:overflowPunct w:val="0"/>
              <w:spacing w:line="360" w:lineRule="exact"/>
              <w:rPr>
                <w:rFonts w:hint="eastAsia" w:ascii="仿宋_GB2312" w:hAnsi="仿宋_GB2312" w:eastAsia="仿宋_GB2312" w:cs="仿宋_GB2312"/>
                <w:snapToGrid w:val="0"/>
                <w:color w:val="000000"/>
                <w:kern w:val="0"/>
                <w:sz w:val="28"/>
                <w:szCs w:val="28"/>
                <w:lang w:bidi="ar"/>
              </w:rPr>
            </w:pPr>
            <w:r>
              <w:rPr>
                <w:rFonts w:hint="eastAsia" w:ascii="仿宋_GB2312" w:hAnsi="仿宋_GB2312" w:eastAsia="仿宋_GB2312" w:cs="仿宋_GB2312"/>
                <w:snapToGrid w:val="0"/>
                <w:color w:val="000000"/>
                <w:kern w:val="0"/>
                <w:sz w:val="28"/>
                <w:szCs w:val="28"/>
              </w:rPr>
              <w:t>省商务厅、省教育厅、省药监局、省卫生健康委、海南国际经发局、三亚市政府、陵水</w:t>
            </w:r>
            <w:r>
              <w:rPr>
                <w:rFonts w:hint="eastAsia" w:ascii="仿宋_GB2312" w:hAnsi="仿宋_GB2312" w:eastAsia="仿宋_GB2312" w:cs="仿宋_GB2312"/>
                <w:snapToGrid w:val="0"/>
                <w:color w:val="000000"/>
                <w:kern w:val="0"/>
                <w:sz w:val="28"/>
                <w:szCs w:val="28"/>
                <w:lang w:eastAsia="zh-CN"/>
              </w:rPr>
              <w:t>黎族自治</w:t>
            </w:r>
            <w:r>
              <w:rPr>
                <w:rFonts w:hint="eastAsia" w:ascii="仿宋_GB2312" w:hAnsi="仿宋_GB2312" w:eastAsia="仿宋_GB2312" w:cs="仿宋_GB2312"/>
                <w:snapToGrid w:val="0"/>
                <w:color w:val="000000"/>
                <w:kern w:val="0"/>
                <w:sz w:val="28"/>
                <w:szCs w:val="28"/>
              </w:rPr>
              <w:t>县政府、文昌市政府、陵水黎安国际教育创新试验区管理局、博鳌乐城国际医疗旅游先行区管理局、崖州湾科技城管理局按职责分工。</w:t>
            </w:r>
          </w:p>
        </w:tc>
      </w:tr>
      <w:tr w14:paraId="37558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878" w:hRule="atLeast"/>
          <w:jc w:val="center"/>
        </w:trPr>
        <w:tc>
          <w:tcPr>
            <w:tcW w:w="805" w:type="dxa"/>
            <w:noWrap w:val="0"/>
            <w:vAlign w:val="center"/>
          </w:tcPr>
          <w:p w14:paraId="427F3DBE">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9</w:t>
            </w:r>
          </w:p>
        </w:tc>
        <w:tc>
          <w:tcPr>
            <w:tcW w:w="9267" w:type="dxa"/>
            <w:noWrap w:val="0"/>
            <w:vAlign w:val="center"/>
          </w:tcPr>
          <w:p w14:paraId="72091315">
            <w:pPr>
              <w:overflowPunct w:val="0"/>
              <w:spacing w:line="360" w:lineRule="exact"/>
              <w:rPr>
                <w:rFonts w:hint="eastAsia" w:ascii="仿宋_GB2312" w:hAnsi="仿宋_GB2312" w:eastAsia="仿宋_GB2312" w:cs="仿宋_GB2312"/>
                <w:snapToGrid w:val="0"/>
                <w:color w:val="000000"/>
                <w:kern w:val="0"/>
                <w:sz w:val="28"/>
                <w:szCs w:val="28"/>
              </w:rPr>
            </w:pPr>
            <w:r>
              <w:rPr>
                <w:rStyle w:val="8"/>
                <w:rFonts w:hint="eastAsia" w:ascii="仿宋_GB2312" w:hAnsi="仿宋_GB2312" w:eastAsia="仿宋_GB2312" w:cs="仿宋_GB2312"/>
                <w:snapToGrid w:val="0"/>
                <w:kern w:val="0"/>
                <w:sz w:val="28"/>
                <w:szCs w:val="28"/>
              </w:rPr>
              <w:t>释放原油进口“定企业、定品种、定数量”政策红利，促进产业链上下游物料互供循环，加快形成“油头-化身-新材料尾”完整产业链条。</w:t>
            </w:r>
            <w:r>
              <w:rPr>
                <w:rFonts w:hint="eastAsia" w:ascii="仿宋_GB2312" w:hAnsi="仿宋_GB2312" w:eastAsia="仿宋_GB2312" w:cs="仿宋_GB2312"/>
                <w:snapToGrid w:val="0"/>
                <w:color w:val="000000"/>
                <w:kern w:val="0"/>
                <w:sz w:val="28"/>
                <w:szCs w:val="28"/>
                <w:shd w:val="clear" w:color="auto" w:fill="FFFFFF"/>
              </w:rPr>
              <w:t>壮大烯烃产业链，谋划外购石脑油、丙烷等原料做大烯烃产业规模，差异化发展高端化工新材料。稳步发展芳烃产业链，向下游延伸特种聚酯和可降解材料。适度发展特种油品。推动高含二氧化碳天然气综合利用，锻长天然气化工产业链。</w:t>
            </w:r>
          </w:p>
        </w:tc>
        <w:tc>
          <w:tcPr>
            <w:tcW w:w="4733" w:type="dxa"/>
            <w:noWrap w:val="0"/>
            <w:vAlign w:val="center"/>
          </w:tcPr>
          <w:p w14:paraId="3E3EECA8">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省工业和信息化厅、</w:t>
            </w:r>
            <w:r>
              <w:rPr>
                <w:rFonts w:hint="eastAsia" w:ascii="仿宋_GB2312" w:hAnsi="仿宋_GB2312" w:eastAsia="仿宋_GB2312" w:cs="仿宋_GB2312"/>
                <w:snapToGrid w:val="0"/>
                <w:color w:val="000000"/>
                <w:kern w:val="0"/>
                <w:sz w:val="28"/>
                <w:szCs w:val="28"/>
                <w:lang w:eastAsia="zh-CN"/>
              </w:rPr>
              <w:t>省发展改革委、</w:t>
            </w:r>
            <w:r>
              <w:rPr>
                <w:rFonts w:hint="eastAsia" w:ascii="仿宋_GB2312" w:hAnsi="仿宋_GB2312" w:eastAsia="仿宋_GB2312" w:cs="仿宋_GB2312"/>
                <w:snapToGrid w:val="0"/>
                <w:color w:val="000000"/>
                <w:kern w:val="0"/>
                <w:sz w:val="28"/>
                <w:szCs w:val="28"/>
              </w:rPr>
              <w:t>儋州市政府、东方市政府、澄迈县政府按职责分工。</w:t>
            </w:r>
          </w:p>
        </w:tc>
      </w:tr>
      <w:tr w14:paraId="37127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895" w:hRule="atLeast"/>
          <w:jc w:val="center"/>
        </w:trPr>
        <w:tc>
          <w:tcPr>
            <w:tcW w:w="805" w:type="dxa"/>
            <w:noWrap w:val="0"/>
            <w:vAlign w:val="center"/>
          </w:tcPr>
          <w:p w14:paraId="3AC67956">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10</w:t>
            </w:r>
          </w:p>
        </w:tc>
        <w:tc>
          <w:tcPr>
            <w:tcW w:w="9267" w:type="dxa"/>
            <w:noWrap w:val="0"/>
            <w:vAlign w:val="center"/>
          </w:tcPr>
          <w:p w14:paraId="218C3753">
            <w:pPr>
              <w:overflowPunct w:val="0"/>
              <w:spacing w:line="360" w:lineRule="exact"/>
              <w:rPr>
                <w:rFonts w:hint="eastAsia" w:ascii="仿宋_GB2312" w:hAnsi="仿宋_GB2312" w:eastAsia="仿宋_GB2312" w:cs="仿宋_GB2312"/>
                <w:snapToGrid w:val="0"/>
                <w:color w:val="000000"/>
                <w:kern w:val="0"/>
                <w:sz w:val="28"/>
                <w:szCs w:val="28"/>
                <w:lang w:bidi="ar"/>
              </w:rPr>
            </w:pPr>
            <w:r>
              <w:rPr>
                <w:rFonts w:hint="eastAsia" w:ascii="仿宋_GB2312" w:hAnsi="仿宋_GB2312" w:eastAsia="仿宋_GB2312" w:cs="仿宋_GB2312"/>
                <w:snapToGrid w:val="0"/>
                <w:color w:val="000000"/>
                <w:kern w:val="0"/>
                <w:sz w:val="28"/>
                <w:szCs w:val="28"/>
              </w:rPr>
              <w:t>加快建设绿色工厂、绿色园区，提升产品碳足迹竞争力。支持数字化绿色化协同转型，积极培育国家级绿色工厂、数字化转型标杆企业。推动临高</w:t>
            </w:r>
            <w:r>
              <w:rPr>
                <w:rFonts w:hint="eastAsia" w:ascii="仿宋_GB2312" w:hAnsi="仿宋_GB2312" w:eastAsia="仿宋_GB2312" w:cs="仿宋_GB2312"/>
                <w:snapToGrid w:val="0"/>
                <w:color w:val="000000"/>
                <w:kern w:val="0"/>
                <w:sz w:val="28"/>
                <w:szCs w:val="28"/>
                <w:lang w:eastAsia="zh-CN"/>
              </w:rPr>
              <w:t>打造</w:t>
            </w:r>
            <w:r>
              <w:rPr>
                <w:rFonts w:hint="eastAsia" w:ascii="仿宋_GB2312" w:hAnsi="仿宋_GB2312" w:eastAsia="仿宋_GB2312" w:cs="仿宋_GB2312"/>
                <w:snapToGrid w:val="0"/>
                <w:color w:val="000000"/>
                <w:kern w:val="0"/>
                <w:sz w:val="28"/>
                <w:szCs w:val="28"/>
              </w:rPr>
              <w:t>新型建筑“设计</w:t>
            </w:r>
            <w:r>
              <w:rPr>
                <w:rFonts w:hint="eastAsia" w:ascii="仿宋_GB2312" w:hAnsi="仿宋_GB2312" w:eastAsia="仿宋_GB2312" w:cs="仿宋_GB2312"/>
                <w:snapToGrid w:val="0"/>
                <w:color w:val="000000"/>
                <w:kern w:val="0"/>
                <w:sz w:val="28"/>
                <w:szCs w:val="28"/>
                <w:lang w:val="en"/>
              </w:rPr>
              <w:t>-</w:t>
            </w:r>
            <w:r>
              <w:rPr>
                <w:rFonts w:hint="eastAsia" w:ascii="仿宋_GB2312" w:hAnsi="仿宋_GB2312" w:eastAsia="仿宋_GB2312" w:cs="仿宋_GB2312"/>
                <w:snapToGrid w:val="0"/>
                <w:color w:val="000000"/>
                <w:kern w:val="0"/>
                <w:sz w:val="28"/>
                <w:szCs w:val="28"/>
              </w:rPr>
              <w:t>研发</w:t>
            </w:r>
            <w:r>
              <w:rPr>
                <w:rFonts w:hint="eastAsia" w:ascii="仿宋_GB2312" w:hAnsi="仿宋_GB2312" w:eastAsia="仿宋_GB2312" w:cs="仿宋_GB2312"/>
                <w:snapToGrid w:val="0"/>
                <w:color w:val="000000"/>
                <w:kern w:val="0"/>
                <w:sz w:val="28"/>
                <w:szCs w:val="28"/>
                <w:lang w:val="en"/>
              </w:rPr>
              <w:t>-</w:t>
            </w:r>
            <w:r>
              <w:rPr>
                <w:rFonts w:hint="eastAsia" w:ascii="仿宋_GB2312" w:hAnsi="仿宋_GB2312" w:eastAsia="仿宋_GB2312" w:cs="仿宋_GB2312"/>
                <w:snapToGrid w:val="0"/>
                <w:color w:val="000000"/>
                <w:kern w:val="0"/>
                <w:sz w:val="28"/>
                <w:szCs w:val="28"/>
              </w:rPr>
              <w:t>制造</w:t>
            </w:r>
            <w:r>
              <w:rPr>
                <w:rFonts w:hint="eastAsia" w:ascii="仿宋_GB2312" w:hAnsi="仿宋_GB2312" w:eastAsia="仿宋_GB2312" w:cs="仿宋_GB2312"/>
                <w:snapToGrid w:val="0"/>
                <w:color w:val="000000"/>
                <w:kern w:val="0"/>
                <w:sz w:val="28"/>
                <w:szCs w:val="28"/>
                <w:lang w:val="en"/>
              </w:rPr>
              <w:t>-</w:t>
            </w:r>
            <w:r>
              <w:rPr>
                <w:rFonts w:hint="eastAsia" w:ascii="仿宋_GB2312" w:hAnsi="仿宋_GB2312" w:eastAsia="仿宋_GB2312" w:cs="仿宋_GB2312"/>
                <w:snapToGrid w:val="0"/>
                <w:color w:val="000000"/>
                <w:kern w:val="0"/>
                <w:sz w:val="28"/>
                <w:szCs w:val="28"/>
              </w:rPr>
              <w:t>交易”全产业链，力争成为国内装配式建筑新高地</w:t>
            </w:r>
            <w:r>
              <w:rPr>
                <w:rFonts w:hint="eastAsia" w:ascii="仿宋_GB2312" w:hAnsi="仿宋_GB2312" w:eastAsia="仿宋_GB2312" w:cs="仿宋_GB2312"/>
                <w:snapToGrid w:val="0"/>
                <w:color w:val="000000"/>
                <w:kern w:val="0"/>
                <w:sz w:val="28"/>
                <w:szCs w:val="28"/>
                <w:shd w:val="clear" w:color="auto" w:fill="FFFFFF"/>
              </w:rPr>
              <w:t>。支持海口围绕新能源汽车、节能环保、禁塑等领域培育绿色制造产业集群。依托环岛西线海上风电资源大力发展海上风电。</w:t>
            </w:r>
          </w:p>
        </w:tc>
        <w:tc>
          <w:tcPr>
            <w:tcW w:w="4733" w:type="dxa"/>
            <w:noWrap w:val="0"/>
            <w:vAlign w:val="center"/>
          </w:tcPr>
          <w:p w14:paraId="73B48885">
            <w:pPr>
              <w:overflowPunct w:val="0"/>
              <w:spacing w:line="360" w:lineRule="exact"/>
              <w:rPr>
                <w:rFonts w:hint="eastAsia" w:ascii="仿宋_GB2312" w:hAnsi="仿宋_GB2312" w:eastAsia="仿宋_GB2312" w:cs="仿宋_GB2312"/>
                <w:snapToGrid w:val="0"/>
                <w:color w:val="000000"/>
                <w:kern w:val="0"/>
                <w:sz w:val="28"/>
                <w:szCs w:val="28"/>
                <w:lang w:bidi="ar"/>
              </w:rPr>
            </w:pPr>
            <w:r>
              <w:rPr>
                <w:rFonts w:hint="eastAsia" w:ascii="仿宋_GB2312" w:hAnsi="仿宋_GB2312" w:eastAsia="仿宋_GB2312" w:cs="仿宋_GB2312"/>
                <w:snapToGrid w:val="0"/>
                <w:color w:val="000000"/>
                <w:kern w:val="0"/>
                <w:sz w:val="28"/>
                <w:szCs w:val="28"/>
                <w:lang w:bidi="ar"/>
              </w:rPr>
              <w:t>省住房城乡建设厅、省发展改革委、省生态环境厅、</w:t>
            </w:r>
            <w:r>
              <w:rPr>
                <w:rFonts w:hint="eastAsia" w:ascii="仿宋_GB2312" w:hAnsi="仿宋_GB2312" w:eastAsia="仿宋_GB2312" w:cs="仿宋_GB2312"/>
                <w:snapToGrid w:val="0"/>
                <w:color w:val="000000"/>
                <w:kern w:val="0"/>
                <w:sz w:val="28"/>
                <w:szCs w:val="28"/>
              </w:rPr>
              <w:t>省工业和信息化厅、海口市政府、</w:t>
            </w:r>
            <w:r>
              <w:rPr>
                <w:rFonts w:hint="eastAsia" w:ascii="仿宋_GB2312" w:hAnsi="仿宋_GB2312" w:eastAsia="仿宋_GB2312" w:cs="仿宋_GB2312"/>
                <w:snapToGrid w:val="0"/>
                <w:color w:val="000000"/>
                <w:kern w:val="0"/>
                <w:sz w:val="28"/>
                <w:szCs w:val="28"/>
                <w:lang w:eastAsia="zh-CN"/>
              </w:rPr>
              <w:t>儋州市政府、东方市政府、临高县政府、昌江黎族自治县政府、</w:t>
            </w:r>
            <w:r>
              <w:rPr>
                <w:rFonts w:hint="eastAsia" w:ascii="仿宋_GB2312" w:hAnsi="仿宋_GB2312" w:eastAsia="仿宋_GB2312" w:cs="仿宋_GB2312"/>
                <w:snapToGrid w:val="0"/>
                <w:color w:val="000000"/>
                <w:kern w:val="0"/>
                <w:sz w:val="28"/>
                <w:szCs w:val="28"/>
              </w:rPr>
              <w:t>各园区管理机构按职责分工。</w:t>
            </w:r>
          </w:p>
        </w:tc>
      </w:tr>
      <w:tr w14:paraId="08EBB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05" w:type="dxa"/>
            <w:noWrap w:val="0"/>
            <w:vAlign w:val="center"/>
          </w:tcPr>
          <w:p w14:paraId="5157E26C">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11</w:t>
            </w:r>
          </w:p>
        </w:tc>
        <w:tc>
          <w:tcPr>
            <w:tcW w:w="9267" w:type="dxa"/>
            <w:noWrap w:val="0"/>
            <w:vAlign w:val="center"/>
          </w:tcPr>
          <w:p w14:paraId="4304C5CF">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推动海口复兴城数字经济产业集群和海南生态软件园数字经济产业集群向创新驱动和应用驱动转</w:t>
            </w:r>
            <w:r>
              <w:rPr>
                <w:rFonts w:hint="eastAsia" w:ascii="仿宋_GB2312" w:hAnsi="仿宋_GB2312" w:eastAsia="仿宋_GB2312" w:cs="仿宋_GB2312"/>
                <w:snapToGrid w:val="0"/>
                <w:color w:val="000000"/>
                <w:kern w:val="0"/>
                <w:sz w:val="28"/>
                <w:szCs w:val="28"/>
                <w:lang w:eastAsia="zh-CN"/>
              </w:rPr>
              <w:t>型</w:t>
            </w:r>
            <w:r>
              <w:rPr>
                <w:rFonts w:hint="eastAsia" w:ascii="仿宋_GB2312" w:hAnsi="仿宋_GB2312" w:eastAsia="仿宋_GB2312" w:cs="仿宋_GB2312"/>
                <w:snapToGrid w:val="0"/>
                <w:color w:val="000000"/>
                <w:kern w:val="0"/>
                <w:sz w:val="28"/>
                <w:szCs w:val="28"/>
              </w:rPr>
              <w:t>。加速布局算力产业，加快培育数据要素市场，促进数据安全有序流动，打造数字化应用场景核心竞争力。基于区块链、AI、大数据</w:t>
            </w:r>
            <w:r>
              <w:rPr>
                <w:rFonts w:hint="eastAsia" w:ascii="仿宋_GB2312" w:hAnsi="仿宋_GB2312" w:eastAsia="仿宋_GB2312" w:cs="仿宋_GB2312"/>
                <w:snapToGrid w:val="0"/>
                <w:color w:val="000000"/>
                <w:kern w:val="0"/>
                <w:sz w:val="28"/>
                <w:szCs w:val="28"/>
                <w:lang w:eastAsia="zh-CN"/>
              </w:rPr>
              <w:t>技术</w:t>
            </w:r>
            <w:r>
              <w:rPr>
                <w:rFonts w:hint="eastAsia" w:ascii="仿宋_GB2312" w:hAnsi="仿宋_GB2312" w:eastAsia="仿宋_GB2312" w:cs="仿宋_GB2312"/>
                <w:snapToGrid w:val="0"/>
                <w:color w:val="000000"/>
                <w:kern w:val="0"/>
                <w:sz w:val="28"/>
                <w:szCs w:val="28"/>
              </w:rPr>
              <w:t>推动数字健康、数字文娱、共享平台等业态</w:t>
            </w:r>
            <w:r>
              <w:rPr>
                <w:rFonts w:hint="eastAsia" w:ascii="仿宋_GB2312" w:hAnsi="仿宋_GB2312" w:eastAsia="仿宋_GB2312" w:cs="仿宋_GB2312"/>
                <w:snapToGrid w:val="0"/>
                <w:color w:val="000000"/>
                <w:kern w:val="0"/>
                <w:sz w:val="28"/>
                <w:szCs w:val="28"/>
                <w:lang w:eastAsia="zh-CN"/>
              </w:rPr>
              <w:t>提升能级</w:t>
            </w:r>
            <w:r>
              <w:rPr>
                <w:rFonts w:hint="eastAsia" w:ascii="仿宋_GB2312" w:hAnsi="仿宋_GB2312" w:eastAsia="仿宋_GB2312" w:cs="仿宋_GB2312"/>
                <w:snapToGrid w:val="0"/>
                <w:color w:val="000000"/>
                <w:kern w:val="0"/>
                <w:sz w:val="28"/>
                <w:szCs w:val="28"/>
              </w:rPr>
              <w:t>，积极布局游戏出海、来数加工、半导体芯片、集成电路等产业。以石油化工新材料、现代生物医药、高端食品加工产业和装备制造等领域企业数字化转型为场景推进数实融合发展。</w:t>
            </w:r>
          </w:p>
        </w:tc>
        <w:tc>
          <w:tcPr>
            <w:tcW w:w="4733" w:type="dxa"/>
            <w:noWrap w:val="0"/>
            <w:vAlign w:val="center"/>
          </w:tcPr>
          <w:p w14:paraId="13EB6F5B">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bidi="ar"/>
              </w:rPr>
              <w:t>省工业和信息化厅、省发展改革委、各市县政</w:t>
            </w:r>
            <w:r>
              <w:rPr>
                <w:rFonts w:hint="eastAsia" w:ascii="仿宋_GB2312" w:hAnsi="仿宋_GB2312" w:eastAsia="仿宋_GB2312" w:cs="仿宋_GB2312"/>
                <w:snapToGrid w:val="0"/>
                <w:color w:val="000000"/>
                <w:kern w:val="0"/>
                <w:sz w:val="28"/>
                <w:szCs w:val="28"/>
              </w:rPr>
              <w:t>府、各园区管理机构按职责分工。</w:t>
            </w:r>
          </w:p>
        </w:tc>
      </w:tr>
      <w:tr w14:paraId="1CC3E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790" w:hRule="atLeast"/>
          <w:jc w:val="center"/>
        </w:trPr>
        <w:tc>
          <w:tcPr>
            <w:tcW w:w="805" w:type="dxa"/>
            <w:noWrap w:val="0"/>
            <w:vAlign w:val="center"/>
          </w:tcPr>
          <w:p w14:paraId="19D3AFD6">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12</w:t>
            </w:r>
          </w:p>
        </w:tc>
        <w:tc>
          <w:tcPr>
            <w:tcW w:w="9267" w:type="dxa"/>
            <w:noWrap w:val="0"/>
            <w:vAlign w:val="center"/>
          </w:tcPr>
          <w:p w14:paraId="1B3C52CD">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聚焦“五向图强”培育特色明显、配套完善、竞争力强的产业集群，提升产业集群“含新量”“含绿量”“含金量”，重点支持海上风电、节能环保、低空经济、现代物流、人工智能、生物制造、现代渔业、医疗康养、检验检测、热带食品精深加工等领域培育产业集群。</w:t>
            </w:r>
          </w:p>
        </w:tc>
        <w:tc>
          <w:tcPr>
            <w:tcW w:w="4733" w:type="dxa"/>
            <w:noWrap w:val="0"/>
            <w:vAlign w:val="center"/>
          </w:tcPr>
          <w:p w14:paraId="2DB98D94">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省发展改革委、省自然资源和规划厅、省农业农村厅、省工业和信息化厅、省商务厅、省</w:t>
            </w:r>
            <w:r>
              <w:rPr>
                <w:rFonts w:hint="eastAsia" w:ascii="仿宋_GB2312" w:hAnsi="仿宋_GB2312" w:eastAsia="仿宋_GB2312" w:cs="仿宋_GB2312"/>
                <w:snapToGrid w:val="0"/>
                <w:color w:val="000000"/>
                <w:kern w:val="0"/>
                <w:sz w:val="28"/>
                <w:szCs w:val="28"/>
                <w:lang w:eastAsia="zh-CN"/>
              </w:rPr>
              <w:t>卫生健康委</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eastAsia="zh-CN"/>
              </w:rPr>
              <w:t>省市场监督管理局、</w:t>
            </w:r>
            <w:r>
              <w:rPr>
                <w:rFonts w:hint="eastAsia" w:ascii="仿宋_GB2312" w:hAnsi="仿宋_GB2312" w:eastAsia="仿宋_GB2312" w:cs="仿宋_GB2312"/>
                <w:snapToGrid w:val="0"/>
                <w:color w:val="000000"/>
                <w:kern w:val="0"/>
                <w:sz w:val="28"/>
                <w:szCs w:val="28"/>
              </w:rPr>
              <w:t>各市县政府、各园区管理机构按职责分工。</w:t>
            </w:r>
          </w:p>
        </w:tc>
      </w:tr>
      <w:tr w14:paraId="4974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439" w:hRule="atLeast"/>
          <w:jc w:val="center"/>
        </w:trPr>
        <w:tc>
          <w:tcPr>
            <w:tcW w:w="805" w:type="dxa"/>
            <w:noWrap w:val="0"/>
            <w:vAlign w:val="center"/>
          </w:tcPr>
          <w:p w14:paraId="10C2F0C6">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13</w:t>
            </w:r>
          </w:p>
        </w:tc>
        <w:tc>
          <w:tcPr>
            <w:tcW w:w="9267" w:type="dxa"/>
            <w:noWrap w:val="0"/>
            <w:vAlign w:val="center"/>
          </w:tcPr>
          <w:p w14:paraId="43FC6280">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探索设立省级产业园区投资公司，灵活运用投融资和资本管理运作方式支持自贸港重点园区发展。支持有条件的重点园区发行不动产投资信托基金或资产支持证券等金融产品。</w:t>
            </w:r>
            <w:r>
              <w:rPr>
                <w:rFonts w:hint="eastAsia" w:ascii="仿宋_GB2312" w:hAnsi="仿宋_GB2312" w:eastAsia="仿宋_GB2312" w:cs="仿宋_GB2312"/>
                <w:snapToGrid w:val="0"/>
                <w:color w:val="000000"/>
                <w:kern w:val="0"/>
                <w:sz w:val="28"/>
                <w:szCs w:val="28"/>
                <w:lang w:eastAsia="zh-CN"/>
              </w:rPr>
              <w:t>充分</w:t>
            </w:r>
            <w:r>
              <w:rPr>
                <w:rFonts w:hint="eastAsia" w:ascii="仿宋_GB2312" w:hAnsi="仿宋_GB2312" w:eastAsia="仿宋_GB2312" w:cs="仿宋_GB2312"/>
                <w:snapToGrid w:val="0"/>
                <w:color w:val="000000"/>
                <w:kern w:val="0"/>
                <w:sz w:val="28"/>
                <w:szCs w:val="28"/>
              </w:rPr>
              <w:t>发挥</w:t>
            </w:r>
            <w:r>
              <w:rPr>
                <w:rFonts w:hint="eastAsia" w:ascii="仿宋_GB2312" w:hAnsi="仿宋_GB2312" w:eastAsia="仿宋_GB2312" w:cs="仿宋_GB2312"/>
                <w:snapToGrid w:val="0"/>
                <w:color w:val="000000"/>
                <w:kern w:val="0"/>
                <w:sz w:val="28"/>
                <w:szCs w:val="28"/>
                <w:lang w:eastAsia="zh-CN"/>
              </w:rPr>
              <w:t>专项债的</w:t>
            </w:r>
            <w:r>
              <w:rPr>
                <w:rFonts w:hint="eastAsia" w:ascii="仿宋_GB2312" w:hAnsi="仿宋_GB2312" w:eastAsia="仿宋_GB2312" w:cs="仿宋_GB2312"/>
                <w:snapToGrid w:val="0"/>
                <w:color w:val="000000"/>
                <w:kern w:val="0"/>
                <w:sz w:val="28"/>
                <w:szCs w:val="28"/>
              </w:rPr>
              <w:t>社会资本撬动作用，鼓励符合条件的项目使用专项债券</w:t>
            </w:r>
            <w:bookmarkStart w:id="2" w:name="FunCunProofread28602"/>
            <w:r>
              <w:rPr>
                <w:rFonts w:hint="eastAsia" w:ascii="仿宋_GB2312" w:hAnsi="仿宋_GB2312" w:eastAsia="仿宋_GB2312" w:cs="仿宋_GB2312"/>
                <w:snapToGrid w:val="0"/>
                <w:color w:val="000000"/>
                <w:kern w:val="0"/>
                <w:sz w:val="28"/>
                <w:szCs w:val="28"/>
                <w:u w:val="none" w:color="FFFFFF"/>
              </w:rPr>
              <w:t>作项</w:t>
            </w:r>
            <w:bookmarkEnd w:id="2"/>
            <w:r>
              <w:rPr>
                <w:rFonts w:hint="eastAsia" w:ascii="仿宋_GB2312" w:hAnsi="仿宋_GB2312" w:eastAsia="仿宋_GB2312" w:cs="仿宋_GB2312"/>
                <w:snapToGrid w:val="0"/>
                <w:color w:val="000000"/>
                <w:kern w:val="0"/>
                <w:sz w:val="28"/>
                <w:szCs w:val="28"/>
              </w:rPr>
              <w:t>目资本金。</w:t>
            </w:r>
          </w:p>
        </w:tc>
        <w:tc>
          <w:tcPr>
            <w:tcW w:w="4733" w:type="dxa"/>
            <w:noWrap w:val="0"/>
            <w:vAlign w:val="center"/>
          </w:tcPr>
          <w:p w14:paraId="640585FB">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省国资委、省发展改革委、省财政厅、各市县政府、各园区管理机构按职责分工。</w:t>
            </w:r>
          </w:p>
        </w:tc>
      </w:tr>
      <w:tr w14:paraId="7E417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05" w:type="dxa"/>
            <w:noWrap w:val="0"/>
            <w:vAlign w:val="center"/>
          </w:tcPr>
          <w:p w14:paraId="09FD4C4A">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14</w:t>
            </w:r>
          </w:p>
        </w:tc>
        <w:tc>
          <w:tcPr>
            <w:tcW w:w="9267" w:type="dxa"/>
            <w:noWrap w:val="0"/>
            <w:vAlign w:val="center"/>
          </w:tcPr>
          <w:p w14:paraId="2353E29F">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eastAsia="zh-CN"/>
              </w:rPr>
              <w:t>支持完善</w:t>
            </w:r>
            <w:r>
              <w:rPr>
                <w:rFonts w:hint="eastAsia" w:ascii="仿宋_GB2312" w:hAnsi="仿宋_GB2312" w:eastAsia="仿宋_GB2312" w:cs="仿宋_GB2312"/>
                <w:snapToGrid w:val="0"/>
                <w:color w:val="000000"/>
                <w:kern w:val="0"/>
                <w:sz w:val="28"/>
                <w:szCs w:val="28"/>
              </w:rPr>
              <w:t>“五网”基础设施、环保消防设施</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rPr>
              <w:t>学校、医院等生产生活配套项目建设，对于符合相关条件的项目，省财政、各市县财政从地方政府专项债券等方面给予重点保障。支持多渠道增加房源供给，促进职住平衡。在重点园区内建设的安居房，可优先向符合条件的人才配售。</w:t>
            </w:r>
          </w:p>
        </w:tc>
        <w:tc>
          <w:tcPr>
            <w:tcW w:w="4733" w:type="dxa"/>
            <w:noWrap w:val="0"/>
            <w:vAlign w:val="center"/>
          </w:tcPr>
          <w:p w14:paraId="74237E8D">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省财政厅、省自然资源和规划厅、省教育厅、省卫生健康委、省住房城乡建设厅、各市县政府、各园区管理机构按职责分工。</w:t>
            </w:r>
          </w:p>
        </w:tc>
      </w:tr>
      <w:tr w14:paraId="3EB0E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728" w:hRule="atLeast"/>
          <w:jc w:val="center"/>
        </w:trPr>
        <w:tc>
          <w:tcPr>
            <w:tcW w:w="805" w:type="dxa"/>
            <w:noWrap w:val="0"/>
            <w:vAlign w:val="center"/>
          </w:tcPr>
          <w:p w14:paraId="23504B4C">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15</w:t>
            </w:r>
          </w:p>
        </w:tc>
        <w:tc>
          <w:tcPr>
            <w:tcW w:w="9267" w:type="dxa"/>
            <w:noWrap w:val="0"/>
            <w:vAlign w:val="center"/>
          </w:tcPr>
          <w:p w14:paraId="632999F9">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发挥重大产业链“链主”企业带动作用，带动产业链条上下游企业协同发展。多批次开展“以商招商”“以链招商”活动，组建精英招商团队，建立持续跟踪对接机制，</w:t>
            </w:r>
            <w:r>
              <w:rPr>
                <w:rFonts w:hint="eastAsia" w:ascii="仿宋_GB2312" w:hAnsi="仿宋_GB2312" w:eastAsia="仿宋_GB2312" w:cs="仿宋_GB2312"/>
                <w:snapToGrid w:val="0"/>
                <w:color w:val="000000"/>
                <w:kern w:val="0"/>
                <w:sz w:val="28"/>
                <w:szCs w:val="28"/>
                <w:lang w:eastAsia="zh-CN"/>
              </w:rPr>
              <w:t>精准</w:t>
            </w:r>
            <w:r>
              <w:rPr>
                <w:rFonts w:hint="eastAsia" w:ascii="仿宋_GB2312" w:hAnsi="仿宋_GB2312" w:eastAsia="仿宋_GB2312" w:cs="仿宋_GB2312"/>
                <w:snapToGrid w:val="0"/>
                <w:color w:val="000000"/>
                <w:kern w:val="0"/>
                <w:sz w:val="28"/>
                <w:szCs w:val="28"/>
              </w:rPr>
              <w:t>招引标志性、引领性、示范性产业项目，不断增强海南自贸港产业链竞争力。用好促进总部经济发展支持政策，</w:t>
            </w:r>
            <w:r>
              <w:rPr>
                <w:rFonts w:hint="eastAsia" w:ascii="仿宋_GB2312" w:hAnsi="仿宋_GB2312" w:eastAsia="仿宋_GB2312" w:cs="仿宋_GB2312"/>
                <w:snapToGrid w:val="0"/>
                <w:color w:val="000000"/>
                <w:kern w:val="0"/>
                <w:sz w:val="28"/>
                <w:szCs w:val="28"/>
                <w:lang w:eastAsia="zh-CN"/>
              </w:rPr>
              <w:t>积极</w:t>
            </w:r>
            <w:r>
              <w:rPr>
                <w:rFonts w:hint="eastAsia" w:ascii="仿宋_GB2312" w:hAnsi="仿宋_GB2312" w:eastAsia="仿宋_GB2312" w:cs="仿宋_GB2312"/>
                <w:snapToGrid w:val="0"/>
                <w:color w:val="000000"/>
                <w:kern w:val="0"/>
                <w:sz w:val="28"/>
                <w:szCs w:val="28"/>
              </w:rPr>
              <w:t>引进世界500强企业在重点园区注册设立总部。</w:t>
            </w:r>
          </w:p>
        </w:tc>
        <w:tc>
          <w:tcPr>
            <w:tcW w:w="4733" w:type="dxa"/>
            <w:noWrap w:val="0"/>
            <w:vAlign w:val="center"/>
          </w:tcPr>
          <w:p w14:paraId="095C4A0A">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各市县政府、省级各行业主管部门</w:t>
            </w:r>
            <w:r>
              <w:rPr>
                <w:rFonts w:hint="eastAsia" w:ascii="仿宋_GB2312" w:hAnsi="仿宋_GB2312" w:eastAsia="仿宋_GB2312" w:cs="仿宋_GB2312"/>
                <w:snapToGrid w:val="0"/>
                <w:color w:val="000000"/>
                <w:kern w:val="0"/>
                <w:sz w:val="28"/>
                <w:szCs w:val="28"/>
                <w:lang w:eastAsia="zh-CN"/>
              </w:rPr>
              <w:t>、各园区管理机构</w:t>
            </w:r>
            <w:r>
              <w:rPr>
                <w:rFonts w:hint="eastAsia" w:ascii="仿宋_GB2312" w:hAnsi="仿宋_GB2312" w:eastAsia="仿宋_GB2312" w:cs="仿宋_GB2312"/>
                <w:snapToGrid w:val="0"/>
                <w:color w:val="000000"/>
                <w:kern w:val="0"/>
                <w:sz w:val="28"/>
                <w:szCs w:val="28"/>
              </w:rPr>
              <w:t>按职责分工。</w:t>
            </w:r>
          </w:p>
        </w:tc>
      </w:tr>
      <w:tr w14:paraId="6B5FD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05" w:type="dxa"/>
            <w:noWrap w:val="0"/>
            <w:vAlign w:val="center"/>
          </w:tcPr>
          <w:p w14:paraId="6F554030">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16</w:t>
            </w:r>
          </w:p>
        </w:tc>
        <w:tc>
          <w:tcPr>
            <w:tcW w:w="9267" w:type="dxa"/>
            <w:noWrap w:val="0"/>
            <w:vAlign w:val="center"/>
          </w:tcPr>
          <w:p w14:paraId="14567B4E">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color w:val="000000"/>
                <w:kern w:val="2"/>
                <w:sz w:val="28"/>
                <w:szCs w:val="28"/>
                <w:highlight w:val="none"/>
                <w:lang w:val="en" w:bidi="ar"/>
              </w:rPr>
              <w:t>各</w:t>
            </w:r>
            <w:r>
              <w:rPr>
                <w:rFonts w:hint="eastAsia" w:ascii="仿宋_GB2312" w:hAnsi="仿宋_GB2312" w:eastAsia="仿宋_GB2312" w:cs="仿宋_GB2312"/>
                <w:snapToGrid/>
                <w:color w:val="000000"/>
                <w:kern w:val="2"/>
                <w:sz w:val="28"/>
                <w:szCs w:val="28"/>
                <w:highlight w:val="none"/>
                <w:lang w:val="en" w:eastAsia="zh-CN" w:bidi="ar"/>
              </w:rPr>
              <w:t>有关部门、各市县</w:t>
            </w:r>
            <w:r>
              <w:rPr>
                <w:rFonts w:hint="eastAsia" w:ascii="仿宋_GB2312" w:hAnsi="仿宋_GB2312" w:eastAsia="仿宋_GB2312" w:cs="仿宋_GB2312"/>
                <w:snapToGrid/>
                <w:color w:val="000000"/>
                <w:kern w:val="2"/>
                <w:sz w:val="28"/>
                <w:szCs w:val="28"/>
                <w:highlight w:val="none"/>
                <w:lang w:val="en" w:bidi="ar"/>
              </w:rPr>
              <w:t>要强化组织领导，把</w:t>
            </w:r>
            <w:r>
              <w:rPr>
                <w:rFonts w:hint="eastAsia" w:ascii="仿宋_GB2312" w:hAnsi="仿宋_GB2312" w:eastAsia="仿宋_GB2312" w:cs="仿宋_GB2312"/>
                <w:snapToGrid/>
                <w:color w:val="000000"/>
                <w:kern w:val="2"/>
                <w:sz w:val="28"/>
                <w:szCs w:val="28"/>
                <w:highlight w:val="none"/>
                <w:lang w:val="en" w:eastAsia="zh-CN" w:bidi="ar"/>
              </w:rPr>
              <w:t>构建</w:t>
            </w:r>
            <w:r>
              <w:rPr>
                <w:rFonts w:hint="eastAsia" w:ascii="仿宋_GB2312" w:hAnsi="仿宋_GB2312" w:eastAsia="仿宋_GB2312" w:cs="仿宋_GB2312"/>
                <w:snapToGrid/>
                <w:color w:val="000000"/>
                <w:kern w:val="2"/>
                <w:sz w:val="28"/>
                <w:szCs w:val="28"/>
                <w:highlight w:val="none"/>
                <w:lang w:val="en" w:bidi="ar"/>
              </w:rPr>
              <w:t>现代化产业体系和</w:t>
            </w:r>
            <w:r>
              <w:rPr>
                <w:rFonts w:hint="eastAsia" w:ascii="仿宋_GB2312" w:hAnsi="仿宋_GB2312" w:eastAsia="仿宋_GB2312" w:cs="仿宋_GB2312"/>
                <w:snapToGrid/>
                <w:color w:val="000000"/>
                <w:kern w:val="2"/>
                <w:sz w:val="28"/>
                <w:szCs w:val="28"/>
                <w:highlight w:val="none"/>
                <w:lang w:val="en" w:eastAsia="zh-CN" w:bidi="ar"/>
              </w:rPr>
              <w:t>推进</w:t>
            </w:r>
            <w:r>
              <w:rPr>
                <w:rFonts w:hint="eastAsia" w:ascii="仿宋_GB2312" w:hAnsi="仿宋_GB2312" w:eastAsia="仿宋_GB2312" w:cs="仿宋_GB2312"/>
                <w:snapToGrid/>
                <w:color w:val="000000"/>
                <w:kern w:val="2"/>
                <w:sz w:val="28"/>
                <w:szCs w:val="28"/>
                <w:highlight w:val="none"/>
                <w:lang w:val="en" w:bidi="ar"/>
              </w:rPr>
              <w:t>园区发展建设纳入重要议事日程。</w:t>
            </w:r>
            <w:r>
              <w:rPr>
                <w:rFonts w:hint="eastAsia" w:ascii="仿宋_GB2312" w:hAnsi="仿宋_GB2312" w:eastAsia="仿宋_GB2312" w:cs="仿宋_GB2312"/>
                <w:snapToGrid/>
                <w:color w:val="000000"/>
                <w:kern w:val="2"/>
                <w:sz w:val="28"/>
                <w:szCs w:val="28"/>
                <w:highlight w:val="none"/>
                <w:lang w:val="en" w:eastAsia="zh-CN" w:bidi="ar"/>
              </w:rPr>
              <w:t>各行业主管部门</w:t>
            </w:r>
            <w:r>
              <w:rPr>
                <w:rFonts w:hint="eastAsia" w:ascii="仿宋_GB2312" w:hAnsi="仿宋_GB2312" w:eastAsia="仿宋_GB2312" w:cs="仿宋_GB2312"/>
                <w:snapToGrid/>
                <w:color w:val="000000"/>
                <w:kern w:val="2"/>
                <w:sz w:val="28"/>
                <w:szCs w:val="28"/>
                <w:highlight w:val="none"/>
                <w:lang w:val="en" w:bidi="ar"/>
              </w:rPr>
              <w:t>要聚焦重点产业链条引增量、优存量，大力引进一批标志性、引领性产业项目，为构建具有海南特色和优</w:t>
            </w:r>
            <w:r>
              <w:rPr>
                <w:rFonts w:hint="eastAsia" w:ascii="仿宋_GB2312" w:hAnsi="仿宋_GB2312" w:eastAsia="仿宋_GB2312" w:cs="仿宋_GB2312"/>
                <w:snapToGrid/>
                <w:color w:val="000000"/>
                <w:spacing w:val="-6"/>
                <w:kern w:val="2"/>
                <w:sz w:val="28"/>
                <w:szCs w:val="28"/>
                <w:highlight w:val="none"/>
                <w:lang w:val="en" w:bidi="ar"/>
              </w:rPr>
              <w:t>势的现代化产业体系提供更有力支撑。各市县、各园区要提高站位、深化认识，持续优化营商环境，完善要素保障机制，切实发挥主体责任和属地责任。</w:t>
            </w:r>
          </w:p>
        </w:tc>
        <w:tc>
          <w:tcPr>
            <w:tcW w:w="4733" w:type="dxa"/>
            <w:noWrap w:val="0"/>
            <w:vAlign w:val="center"/>
          </w:tcPr>
          <w:p w14:paraId="1D2E8D2F">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各市县政府、省级各行业主管部门</w:t>
            </w:r>
            <w:r>
              <w:rPr>
                <w:rFonts w:hint="eastAsia" w:ascii="仿宋_GB2312" w:hAnsi="仿宋_GB2312" w:eastAsia="仿宋_GB2312" w:cs="仿宋_GB2312"/>
                <w:snapToGrid w:val="0"/>
                <w:color w:val="000000"/>
                <w:kern w:val="0"/>
                <w:sz w:val="28"/>
                <w:szCs w:val="28"/>
                <w:lang w:eastAsia="zh-CN"/>
              </w:rPr>
              <w:t>、各园区管理机构</w:t>
            </w:r>
            <w:r>
              <w:rPr>
                <w:rFonts w:hint="eastAsia" w:ascii="仿宋_GB2312" w:hAnsi="仿宋_GB2312" w:eastAsia="仿宋_GB2312" w:cs="仿宋_GB2312"/>
                <w:snapToGrid w:val="0"/>
                <w:color w:val="000000"/>
                <w:kern w:val="0"/>
                <w:sz w:val="28"/>
                <w:szCs w:val="28"/>
              </w:rPr>
              <w:t>按职责分工。</w:t>
            </w:r>
          </w:p>
        </w:tc>
      </w:tr>
      <w:tr w14:paraId="3DDDB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339" w:hRule="atLeast"/>
          <w:jc w:val="center"/>
        </w:trPr>
        <w:tc>
          <w:tcPr>
            <w:tcW w:w="805" w:type="dxa"/>
            <w:noWrap w:val="0"/>
            <w:vAlign w:val="center"/>
          </w:tcPr>
          <w:p w14:paraId="2776D85E">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17</w:t>
            </w:r>
          </w:p>
        </w:tc>
        <w:tc>
          <w:tcPr>
            <w:tcW w:w="9267" w:type="dxa"/>
            <w:noWrap w:val="0"/>
            <w:vAlign w:val="center"/>
          </w:tcPr>
          <w:p w14:paraId="17493084">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加大现代化产业体系财政投入力度，发挥自贸港建设投资基金撬动作用。加快构建与现代化产业体系相匹配的金融服务体系，鼓励提高制造业贷款比重，大力发展多层次资本市场和产业保险。创新产业项目供地方式。加强企业用能用水保障，优先保障重大产业项目环境容量、能耗指标需求。</w:t>
            </w:r>
            <w:r>
              <w:rPr>
                <w:rFonts w:hint="eastAsia" w:ascii="仿宋_GB2312" w:hAnsi="仿宋_GB2312" w:eastAsia="仿宋_GB2312" w:cs="仿宋_GB2312"/>
                <w:i w:val="0"/>
                <w:caps w:val="0"/>
                <w:snapToGrid w:val="0"/>
                <w:color w:val="000000"/>
                <w:spacing w:val="0"/>
                <w:kern w:val="0"/>
                <w:sz w:val="28"/>
                <w:szCs w:val="28"/>
                <w:shd w:val="clear" w:color="auto" w:fill="auto"/>
                <w:lang w:val="en-US" w:eastAsia="zh-CN" w:bidi="ar"/>
              </w:rPr>
              <w:t>强化人才集聚平台载体建设，全方位引进培养用好人才，推动海南建成人才荟萃之岛、技术创新之岛。</w:t>
            </w:r>
          </w:p>
        </w:tc>
        <w:tc>
          <w:tcPr>
            <w:tcW w:w="4733" w:type="dxa"/>
            <w:noWrap w:val="0"/>
            <w:vAlign w:val="center"/>
          </w:tcPr>
          <w:p w14:paraId="322365C7">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各市县政府、省级各行业主管部门</w:t>
            </w:r>
            <w:r>
              <w:rPr>
                <w:rFonts w:hint="eastAsia" w:ascii="仿宋_GB2312" w:hAnsi="仿宋_GB2312" w:eastAsia="仿宋_GB2312" w:cs="仿宋_GB2312"/>
                <w:snapToGrid w:val="0"/>
                <w:color w:val="000000"/>
                <w:kern w:val="0"/>
                <w:sz w:val="28"/>
                <w:szCs w:val="28"/>
                <w:lang w:eastAsia="zh-CN"/>
              </w:rPr>
              <w:t>、各园区管理机构</w:t>
            </w:r>
            <w:r>
              <w:rPr>
                <w:rFonts w:hint="eastAsia" w:ascii="仿宋_GB2312" w:hAnsi="仿宋_GB2312" w:eastAsia="仿宋_GB2312" w:cs="仿宋_GB2312"/>
                <w:snapToGrid w:val="0"/>
                <w:color w:val="000000"/>
                <w:kern w:val="0"/>
                <w:sz w:val="28"/>
                <w:szCs w:val="28"/>
              </w:rPr>
              <w:t>按职责分工。</w:t>
            </w:r>
          </w:p>
        </w:tc>
      </w:tr>
      <w:tr w14:paraId="3037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618" w:hRule="atLeast"/>
          <w:jc w:val="center"/>
        </w:trPr>
        <w:tc>
          <w:tcPr>
            <w:tcW w:w="805" w:type="dxa"/>
            <w:noWrap w:val="0"/>
            <w:vAlign w:val="center"/>
          </w:tcPr>
          <w:p w14:paraId="699C25AF">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18</w:t>
            </w:r>
          </w:p>
        </w:tc>
        <w:tc>
          <w:tcPr>
            <w:tcW w:w="9267" w:type="dxa"/>
            <w:noWrap w:val="0"/>
            <w:vAlign w:val="center"/>
          </w:tcPr>
          <w:p w14:paraId="7D81D030">
            <w:pPr>
              <w:overflowPunct w:val="0"/>
              <w:spacing w:line="360" w:lineRule="exact"/>
              <w:rPr>
                <w:rFonts w:hint="eastAsia" w:ascii="仿宋_GB2312" w:hAnsi="仿宋_GB2312" w:eastAsia="仿宋_GB2312" w:cs="仿宋_GB2312"/>
                <w:snapToGrid w:val="0"/>
                <w:color w:val="000000"/>
                <w:kern w:val="0"/>
                <w:sz w:val="28"/>
                <w:szCs w:val="28"/>
                <w:lang w:bidi="ar"/>
              </w:rPr>
            </w:pPr>
            <w:r>
              <w:rPr>
                <w:rFonts w:hint="eastAsia" w:ascii="仿宋_GB2312" w:hAnsi="仿宋_GB2312" w:eastAsia="仿宋_GB2312" w:cs="仿宋_GB2312"/>
                <w:snapToGrid w:val="0"/>
                <w:color w:val="000000"/>
                <w:kern w:val="0"/>
                <w:sz w:val="28"/>
                <w:szCs w:val="28"/>
                <w:lang w:bidi="ar"/>
              </w:rPr>
              <w:t>建立现代化产业体系重点项目库，积极谋划和培育储备一批优质项目，及时滚动更新进入重点项目库。鼓励金融机构创新助力现代化产业体系重点项目建设的金融产品及服务。建立项目定期调度、会商推进和跟踪服务机制，确保重点项目尽快投产增效。</w:t>
            </w:r>
          </w:p>
        </w:tc>
        <w:tc>
          <w:tcPr>
            <w:tcW w:w="4733" w:type="dxa"/>
            <w:noWrap w:val="0"/>
            <w:vAlign w:val="center"/>
          </w:tcPr>
          <w:p w14:paraId="7376C42B">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各市县政府、省级各行业主管部门、各园区管理机构按职责分工。</w:t>
            </w:r>
          </w:p>
        </w:tc>
      </w:tr>
      <w:tr w14:paraId="00DE0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292" w:hRule="atLeast"/>
          <w:jc w:val="center"/>
        </w:trPr>
        <w:tc>
          <w:tcPr>
            <w:tcW w:w="805" w:type="dxa"/>
            <w:noWrap w:val="0"/>
            <w:vAlign w:val="center"/>
          </w:tcPr>
          <w:p w14:paraId="725CC588">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19</w:t>
            </w:r>
          </w:p>
        </w:tc>
        <w:tc>
          <w:tcPr>
            <w:tcW w:w="9267" w:type="dxa"/>
            <w:noWrap w:val="0"/>
            <w:vAlign w:val="center"/>
          </w:tcPr>
          <w:p w14:paraId="4EB7FF1E">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探索建立四大主导产业、全省产业园区和重点产业集群统计监测指标体系，完善重点指标监测、信息共享及信息发布机制，动态跟踪监测数据变化，及时反映重点领域行业发展情况。</w:t>
            </w:r>
          </w:p>
        </w:tc>
        <w:tc>
          <w:tcPr>
            <w:tcW w:w="4733" w:type="dxa"/>
            <w:noWrap w:val="0"/>
            <w:vAlign w:val="center"/>
          </w:tcPr>
          <w:p w14:paraId="03E5894A">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省统计局、省发展改革委、省工业和信息化厅、省旅游和文化广电体育厅、省农业农村厅、省商务厅按职责分工。</w:t>
            </w:r>
          </w:p>
        </w:tc>
      </w:tr>
      <w:tr w14:paraId="211EB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590" w:hRule="atLeast"/>
          <w:jc w:val="center"/>
        </w:trPr>
        <w:tc>
          <w:tcPr>
            <w:tcW w:w="805" w:type="dxa"/>
            <w:noWrap w:val="0"/>
            <w:vAlign w:val="center"/>
          </w:tcPr>
          <w:p w14:paraId="0D30FC07">
            <w:pPr>
              <w:pStyle w:val="10"/>
              <w:overflowPunct w:val="0"/>
              <w:spacing w:line="360" w:lineRule="exact"/>
              <w:jc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20</w:t>
            </w:r>
          </w:p>
        </w:tc>
        <w:tc>
          <w:tcPr>
            <w:tcW w:w="9267" w:type="dxa"/>
            <w:noWrap w:val="0"/>
            <w:vAlign w:val="center"/>
          </w:tcPr>
          <w:p w14:paraId="68253FE2">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val="en"/>
              </w:rPr>
              <w:t>聚焦封关运作后构建现代化产业体系新机遇，最大化释放自贸港政策对现代化产业体系构建的牵引撬动</w:t>
            </w:r>
            <w:r>
              <w:rPr>
                <w:rFonts w:hint="eastAsia" w:ascii="仿宋_GB2312" w:hAnsi="仿宋_GB2312" w:eastAsia="仿宋_GB2312" w:cs="仿宋_GB2312"/>
                <w:snapToGrid w:val="0"/>
                <w:color w:val="000000"/>
                <w:kern w:val="0"/>
                <w:sz w:val="28"/>
                <w:szCs w:val="28"/>
                <w:lang w:val="en" w:eastAsia="zh-CN"/>
              </w:rPr>
              <w:t>效能</w:t>
            </w:r>
            <w:r>
              <w:rPr>
                <w:rFonts w:hint="eastAsia" w:ascii="仿宋_GB2312" w:hAnsi="仿宋_GB2312" w:eastAsia="仿宋_GB2312" w:cs="仿宋_GB2312"/>
                <w:snapToGrid w:val="0"/>
                <w:color w:val="000000"/>
                <w:kern w:val="0"/>
                <w:sz w:val="28"/>
                <w:szCs w:val="28"/>
                <w:lang w:val="en"/>
              </w:rPr>
              <w:t>。</w:t>
            </w:r>
            <w:r>
              <w:rPr>
                <w:rFonts w:hint="eastAsia" w:ascii="仿宋_GB2312" w:hAnsi="仿宋_GB2312" w:eastAsia="仿宋_GB2312" w:cs="仿宋_GB2312"/>
                <w:snapToGrid w:val="0"/>
                <w:color w:val="000000"/>
                <w:kern w:val="0"/>
                <w:sz w:val="28"/>
                <w:szCs w:val="28"/>
              </w:rPr>
              <w:t>发挥制度集成创新优势，加</w:t>
            </w:r>
            <w:r>
              <w:rPr>
                <w:rFonts w:hint="eastAsia" w:ascii="仿宋_GB2312" w:hAnsi="仿宋_GB2312" w:eastAsia="仿宋_GB2312" w:cs="仿宋_GB2312"/>
                <w:snapToGrid w:val="0"/>
                <w:color w:val="000000"/>
                <w:kern w:val="0"/>
                <w:sz w:val="28"/>
                <w:szCs w:val="28"/>
                <w:lang w:eastAsia="zh-CN"/>
              </w:rPr>
              <w:t>快</w:t>
            </w:r>
            <w:r>
              <w:rPr>
                <w:rFonts w:hint="eastAsia" w:ascii="仿宋_GB2312" w:hAnsi="仿宋_GB2312" w:eastAsia="仿宋_GB2312" w:cs="仿宋_GB2312"/>
                <w:snapToGrid w:val="0"/>
                <w:color w:val="000000"/>
                <w:kern w:val="0"/>
                <w:sz w:val="28"/>
                <w:szCs w:val="28"/>
              </w:rPr>
              <w:t>推进海南自由贸易港核心政策落地。开展重大产业政策动态评估，确保封关前后产业链供应链</w:t>
            </w:r>
            <w:r>
              <w:rPr>
                <w:rFonts w:hint="eastAsia" w:ascii="仿宋_GB2312" w:hAnsi="仿宋_GB2312" w:eastAsia="仿宋_GB2312" w:cs="仿宋_GB2312"/>
                <w:snapToGrid w:val="0"/>
                <w:color w:val="000000"/>
                <w:kern w:val="0"/>
                <w:sz w:val="28"/>
                <w:szCs w:val="28"/>
                <w:lang w:eastAsia="zh-CN"/>
              </w:rPr>
              <w:t>安全</w:t>
            </w:r>
            <w:r>
              <w:rPr>
                <w:rFonts w:hint="eastAsia" w:ascii="仿宋_GB2312" w:hAnsi="仿宋_GB2312" w:eastAsia="仿宋_GB2312" w:cs="仿宋_GB2312"/>
                <w:snapToGrid w:val="0"/>
                <w:color w:val="000000"/>
                <w:kern w:val="0"/>
                <w:sz w:val="28"/>
                <w:szCs w:val="28"/>
              </w:rPr>
              <w:t>稳定。</w:t>
            </w:r>
          </w:p>
        </w:tc>
        <w:tc>
          <w:tcPr>
            <w:tcW w:w="4733" w:type="dxa"/>
            <w:noWrap w:val="0"/>
            <w:vAlign w:val="center"/>
          </w:tcPr>
          <w:p w14:paraId="2E921DF2">
            <w:pPr>
              <w:overflowPunct w:val="0"/>
              <w:spacing w:line="360" w:lineRule="exact"/>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各市县政府、省级各行业主管部门</w:t>
            </w:r>
            <w:r>
              <w:rPr>
                <w:rFonts w:hint="eastAsia" w:ascii="仿宋_GB2312" w:hAnsi="仿宋_GB2312" w:eastAsia="仿宋_GB2312" w:cs="仿宋_GB2312"/>
                <w:snapToGrid w:val="0"/>
                <w:color w:val="000000"/>
                <w:kern w:val="0"/>
                <w:sz w:val="28"/>
                <w:szCs w:val="28"/>
                <w:lang w:eastAsia="zh-CN"/>
              </w:rPr>
              <w:t>、各园区管理机构</w:t>
            </w:r>
            <w:r>
              <w:rPr>
                <w:rFonts w:hint="eastAsia" w:ascii="仿宋_GB2312" w:hAnsi="仿宋_GB2312" w:eastAsia="仿宋_GB2312" w:cs="仿宋_GB2312"/>
                <w:snapToGrid w:val="0"/>
                <w:color w:val="000000"/>
                <w:kern w:val="0"/>
                <w:sz w:val="28"/>
                <w:szCs w:val="28"/>
              </w:rPr>
              <w:t>按职责分工。</w:t>
            </w:r>
          </w:p>
        </w:tc>
      </w:tr>
    </w:tbl>
    <w:p w14:paraId="13294D1D">
      <w:pPr>
        <w:pStyle w:val="2"/>
      </w:pPr>
    </w:p>
    <w:sectPr>
      <w:footerReference r:id="rId3" w:type="default"/>
      <w:pgSz w:w="16838" w:h="11906" w:orient="landscape"/>
      <w:pgMar w:top="1134" w:right="1134" w:bottom="1134" w:left="1134" w:header="0" w:footer="1247" w:gutter="0"/>
      <w:paperSrc/>
      <w:pgNumType w:fmt="numberInDash" w:start="1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F65AEF-EEFD-42B7-95A6-176D3E0038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ED2E15-17FF-47DE-865F-62BD6D6E1772}"/>
  </w:font>
  <w:font w:name="CESI仿宋-GB2312">
    <w:altName w:val="仿宋"/>
    <w:panose1 w:val="02000500000000000000"/>
    <w:charset w:val="86"/>
    <w:family w:val="auto"/>
    <w:pitch w:val="default"/>
    <w:sig w:usb0="800002AF" w:usb1="084F6CF8" w:usb2="00000010"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3E3BDD84-77BE-49E3-91BF-FE6443D5DDDD}"/>
  </w:font>
  <w:font w:name="仿宋_GB2312">
    <w:panose1 w:val="02010609030101010101"/>
    <w:charset w:val="86"/>
    <w:family w:val="modern"/>
    <w:pitch w:val="default"/>
    <w:sig w:usb0="00000001" w:usb1="080E0000" w:usb2="00000000" w:usb3="00000000" w:csb0="00040000" w:csb1="00000000"/>
    <w:embedRegular r:id="rId4" w:fontKey="{C2FC6148-9354-4EEC-8D60-3C2ACEC6D2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C673">
    <w:pPr>
      <w:pStyle w:val="4"/>
      <w:overflowPunct w:val="0"/>
      <w:jc w:val="center"/>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99CA3">
                          <w:pPr>
                            <w:pStyle w:val="4"/>
                            <w:overflowPunct w:val="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40A99CA3">
                    <w:pPr>
                      <w:pStyle w:val="4"/>
                      <w:overflowPunct w:val="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readOnly" w:enforcement="0"/>
  <w:defaultTabStop w:val="420"/>
  <w:hyphenationZone w:val="360"/>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33162A"/>
    <w:rsid w:val="11FBEE72"/>
    <w:rsid w:val="1887492C"/>
    <w:rsid w:val="1BFFB682"/>
    <w:rsid w:val="1FE7D257"/>
    <w:rsid w:val="20D865E3"/>
    <w:rsid w:val="357D445C"/>
    <w:rsid w:val="3FDECC11"/>
    <w:rsid w:val="457F1DE5"/>
    <w:rsid w:val="4B67492C"/>
    <w:rsid w:val="5AE08A00"/>
    <w:rsid w:val="5BEE239E"/>
    <w:rsid w:val="5BFDD35E"/>
    <w:rsid w:val="5CDFCEC0"/>
    <w:rsid w:val="5F7F8E95"/>
    <w:rsid w:val="5FFF4B19"/>
    <w:rsid w:val="67EB2314"/>
    <w:rsid w:val="6AB7B2BE"/>
    <w:rsid w:val="6BE9266B"/>
    <w:rsid w:val="6DDBECF1"/>
    <w:rsid w:val="6F36C7C2"/>
    <w:rsid w:val="71FE8452"/>
    <w:rsid w:val="73BD9F3B"/>
    <w:rsid w:val="771DEE74"/>
    <w:rsid w:val="7BFF0E14"/>
    <w:rsid w:val="7DAFBB58"/>
    <w:rsid w:val="7DEDC3DE"/>
    <w:rsid w:val="7E8BB51C"/>
    <w:rsid w:val="7EBB2006"/>
    <w:rsid w:val="7EEB76EB"/>
    <w:rsid w:val="7F773DA7"/>
    <w:rsid w:val="7F7F0DD7"/>
    <w:rsid w:val="7FF75823"/>
    <w:rsid w:val="7FFBB633"/>
    <w:rsid w:val="95C9BB6E"/>
    <w:rsid w:val="9D7D91B5"/>
    <w:rsid w:val="AB87C831"/>
    <w:rsid w:val="BAEF79B2"/>
    <w:rsid w:val="BDED46F2"/>
    <w:rsid w:val="BF59FB5C"/>
    <w:rsid w:val="BF71D8EB"/>
    <w:rsid w:val="BFF78D20"/>
    <w:rsid w:val="BFFD5869"/>
    <w:rsid w:val="CB777509"/>
    <w:rsid w:val="D6DFED1E"/>
    <w:rsid w:val="DC6FEEA6"/>
    <w:rsid w:val="DECF573B"/>
    <w:rsid w:val="EBBF3782"/>
    <w:rsid w:val="EFDFE268"/>
    <w:rsid w:val="F1DF7C51"/>
    <w:rsid w:val="F5D6D0D8"/>
    <w:rsid w:val="F63A398D"/>
    <w:rsid w:val="F9FFB6AD"/>
    <w:rsid w:val="FADF2C7F"/>
    <w:rsid w:val="FBF7517F"/>
    <w:rsid w:val="FD33162A"/>
    <w:rsid w:val="FDCFC6BA"/>
    <w:rsid w:val="FDF3B6DA"/>
    <w:rsid w:val="FEAA42A3"/>
    <w:rsid w:val="FEFB7EBC"/>
    <w:rsid w:val="FEFE5802"/>
    <w:rsid w:val="FF79FDA6"/>
    <w:rsid w:val="FF8D3058"/>
    <w:rsid w:val="FF970D7A"/>
    <w:rsid w:val="FFFFD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2312" w:cs="Times New Roman"/>
      <w:kern w:val="1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正文缩进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Plain Text"/>
    <w:basedOn w:val="1"/>
    <w:qFormat/>
    <w:uiPriority w:val="99"/>
    <w:rPr>
      <w:rFonts w:ascii="宋体" w:hAnsi="Courier New"/>
      <w:kern w:val="0"/>
      <w:sz w:val="20"/>
      <w:szCs w:val="20"/>
    </w:rPr>
  </w:style>
  <w:style w:type="paragraph" w:styleId="4">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style01"/>
    <w:qFormat/>
    <w:uiPriority w:val="0"/>
    <w:rPr>
      <w:rFonts w:ascii="仿宋" w:hAnsi="仿宋" w:eastAsia="仿宋" w:cs="仿宋"/>
      <w:color w:val="000000"/>
      <w:sz w:val="32"/>
      <w:szCs w:val="32"/>
    </w:rPr>
  </w:style>
  <w:style w:type="paragraph" w:customStyle="1" w:styleId="9">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0">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3991</Words>
  <Characters>4019</Characters>
  <Lines>0</Lines>
  <Paragraphs>0</Paragraphs>
  <TotalTime>19.6666666666667</TotalTime>
  <ScaleCrop>false</ScaleCrop>
  <LinksUpToDate>false</LinksUpToDate>
  <CharactersWithSpaces>4037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2025-07-31T02:21:00Z</dcterms:created>
  <dc:creator>许瑞恒</dc:creator>
  <cp:lastModifiedBy>WPS_1591358491</cp:lastModifiedBy>
  <cp:lastPrinted>2025-08-01T09:08:33Z</cp:lastPrinted>
  <dcterms:modified xsi:type="dcterms:W3CDTF">2025-08-07T07:43:26Z</dcterms:modified>
  <dc:title>海南省人民政府办公厅关于印发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eyJoZGlkIjoiNGQzYjU1MTg5NWNhNzdlNGY3NTRiOGRiNTJkNGE3ZmIiLCJ1c2VySWQiOiI2MjA1NDg2ODYifQ==</vt:lpwstr>
  </property>
  <property fmtid="{D5CDD505-2E9C-101B-9397-08002B2CF9AE}" pid="4" name="ICV">
    <vt:lpwstr>4D91D66E2476417E99F1DAAD2B927D79_13</vt:lpwstr>
  </property>
</Properties>
</file>